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235 vom 2. April 2013</w:t>
      </w:r>
    </w:p>
    <w:p>
      <w:r>
        <w:t>VD Tribunal cantonal, 2013-04-02, FR</w:t>
      </w:r>
    </w:p>
    <w:p>
      <w:r>
        <w:rPr>
          <w:b/>
        </w:rPr>
        <w:t xml:space="preserve">Quelle: </w:t>
      </w:r>
      <w:r>
        <w:t>https://mcp.opencaselaw.ch/entscheid/vd_findinfo_HC___2013___235</w:t>
      </w:r>
    </w:p>
    <w:p>
      <w:r>
        <w:t>FR: VD_FINDINFO HC / 2013 / 235 du 2 avril 2013</w:t>
      </w:r>
    </w:p>
    <w:p>
      <w:r>
        <w:t>IT: VD_FINDINFO HC / 2013 / 235 del 2 aprile 2013</w:t>
      </w:r>
    </w:p>
    <w:p>
      <w:pPr>
        <w:pStyle w:val="Heading2"/>
      </w:pPr>
      <w:r>
        <w:t>Regeste</w:t>
      </w:r>
    </w:p>
    <w:p>
      <w:r>
        <w:t>DROIT AU SALAIRE, MAINTIEN DU PAIEMENT DU SALAIRE, MESURE PROVISIONNELLE, RAPPORTS DE SERVICE, EMPLOYÉ PUBLIC | 29 al. 2 Cst., 52 al. 1 LCP, 56 LCP, 5 LPers-VD, 58 al. 1 let. b RLPers-VD, 261 CPC (CH), 264 CPC (CH)</w:t>
      </w:r>
    </w:p>
    <w:p>
      <w:pPr>
        <w:pStyle w:val="Heading2"/>
      </w:pPr>
      <w:r>
        <w:t>Erwägungen</w:t>
      </w:r>
    </w:p>
    <w:p>
      <w:r>
        <w:rPr>
          <w:b/>
        </w:rPr>
        <w:t>E. 1</w:t>
      </w:r>
    </w:p>
    <w:p>
      <w:r>
        <w:t>L’appel est recevable contre les ordonnances de mesures provisionnelles (art. 308 al. 1 let. b CPC [Code de procédure civile du 19 décembre 2010 ; RS 272]), dans les causes non patrimoniales ou celles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2010 III 136-137). Il appartient à l'appelant de démontrer si ces conditions sont réalisées, de sorte que l'appel doit indiquer spécialement de tels faits et preuves nouveaux et motiver spécialement les raisons qui les rendent admissibles selon lui (JT 2010 III 136-137 ; JT 2011 III 43 c. 2). En l'espèce, l'appelant a produit, outre une procuration, le jugement entrepris et l'enveloppe l'ayant contenu (pièces 104-106), trois nouvelles pièces (107 -109) qui sont recevables dans la mesure où elles sont postérieures à l'audience du 14 novembre 2012.</w:t>
      </w:r>
    </w:p>
    <w:p>
      <w:r>
        <w:rPr>
          <w:b/>
        </w:rPr>
        <w:t>E. 3</w:t>
      </w:r>
    </w:p>
    <w:p>
      <w:r>
        <w:t>L’appelant invoque la violation de son droit d’être entendu qui résulterait de ce que le premier juge n’aurait pas motivé sa considération portant sur le refus de l’allocation de sûretés au sens de l’art. 264 CPC. Le premier juge a estimé à cet égard qu’en l’espèce, rien ne justifiait l’octroi de sûretés. 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(TF 2C_724/2012 du 25 juillet 2012 c. 5.1 ; ATF 137 II 266 c. 3.2 ; ATF 136 I 229 c. 5.2). La motivation du premier juge est certes très succincte. Elle n’a toutefois pas empêché l’appelant de se rendre compte de la portée de celle-ci et de l’attaquer en connaissance de cause, comme cela découle de l’acte d’appel (p. 10). Au demeurant, selon la jurisprudence, la violation du droit d’être entendu — pour autant qu’elle ne soit pas d’une gravité particulière — peut être réparée lorsque la partie lésée a la possibilité de s’exprimer devant une autorité de recours jouissant d’un plein pouvoir d’examen (ATF 126 V 130 c. 2b). Compte tenu du fait que l’appelant a pu s’exprimer de manière complète devant le juge de céans, qui dispose d’un plein pouvoir d’examen en fait et en droit dans la procédure provisionnelle, le vice serait de toute manière guéri par l’examen, en instance d’appel, de l’ensemble des questions soulevées (voir ci-après c. 6). Le moyen est mal fondé.</w:t>
      </w:r>
    </w:p>
    <w:p>
      <w:r>
        <w:rPr>
          <w:b/>
        </w:rPr>
        <w:t>E. 4</w:t>
      </w:r>
    </w:p>
    <w:p>
      <w:r>
        <w:t>L’appelant fait valoir une constatation inexacte des faits. Comme déjà mentionné, l’instance d’appel dispose d’un plein pouvoir d’examen de la cause en fait et en droit, même en matière provisionnelle. Dans la mesure où le juge d’appel a établi les faits en tenant compte de l’ordonnance complétée par le dossier de première instance et des pièces produites recevables en appel et qu’il contrôle librement l’appréciation des preuves effectuée par le juge de première instance (art. 157 CPC en relation avec l’art. 310 let. b CPC), que la cause soit soumise à la maxime des débats ou à la maxime inquisitoire (cf. ATF 138 III 374 c. 4.3.1), le moyen de l’appelant s’avère mal fondé.</w:t>
      </w:r>
    </w:p>
    <w:p>
      <w:r>
        <w:rPr>
          <w:b/>
        </w:rPr>
        <w:t>E. 5</w:t>
      </w:r>
    </w:p>
    <w:p>
      <w:r>
        <w:t>L’appelant invoque la violation de l’art. 261 CPC. Il reproche à l'intimé, en substance, de ne pas avoir rendu vraisemblable l'existence de son droit, ni sa violation, ni le risque d'un préjudice difficilement réparable et tient la mesure pour disproportionnée. a) Selon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L’art. 261 al. 1 CPC pose des conditions cumulatives à l’octroi de mesures provisionnelles. aa) Le motif qui justifie la mesure requise doit être examiné en premier lieu ; il faut une mise en danger ou une violation effective d’une prétention risquant de causer à son titulaire un préjudice difficilement réparable et impliquant une urgence temporelle. Le préjudice envisagé doit être objectivement vraisemblable, une erreur d’appréciation n’étant pas totalement exclue. Par préjudice, on entend par exemple l’atteinte à l’exercice de droits absolus. Peu importe que l’atteinte puisse être réparée par une somme d’argent. Même un dommage immatériel imminent ou qui est difficile à évaluer ou à démontrer, ou encore des difficultés d’exécution d’une décision, en font partie. Il faut en outre que la prétention matérielle mise apparemment en danger ou déjà violée soit vraisemblable, de sorte que le requérant est tenu de rendre vraisemblable la légitimité de sa demande principale (Message du Conseil fédéral relatif au code de procédure civile suisse, FF 2006, p. 6841 ss, spéc. 6961 ; Bohnet, CPC commenté, Bâle 2011, n. 7 ad art. 261 CPC).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 citées). ab)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 entrent notamment dans ce cas de figure la perte de clientèle, l’atteinte à la réputation d’une personne, ou encore le trouble créé sur le marché par l’utilisation d’un signe créant un risque de confusion (TF 4A_611/2011 du 3 janvier 2012 c. 4.1 et les réf. citées, in RSPC 2012, p. 208, et la note de Dietschy). Un préjudice financier n’est en principe pas difficilement réparable, hormis les cas exceptionnels où il est susceptible d’entraîner la faillite de l’intéressé ou la perte de ses moyens d’existence (Seiler, Die Berufung nach der Schweizerischen Zivilprozessordnung, Bâle 2011, n. 991 et les renvois). ac) Le risque de préjudice difficilement réparable suppose par ailleurs l’urgence (Bohnet, op. cit., n. 12 ad art. 261 CPC) ; de façon générale, il y a urgence chaque fois que le retard apporté à une solution provisoire met en péril les intérêts d’une des parties (HohI, La réalisation du droit et les procédures rapides, thèse d’habilitation, Fribourg 1994, n. 543). ad)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 l’examen du droit et la pesée des intérêts en présence ne s’excluent pas: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(cf. Bohnet, op. cit., n. 18 ad art. 261 CPC ; TF 4A_611/2011 précité c. 4.1 et les réf. citées ; ATF 131 III 473 c. 2.3 et 3.2). b) L'art. 5 LPers-VD prévoit que la politique du personnel, définie par le Conseil d'Etat, a notamment pour but de créer des conditions de travail adéquates pour favoriser l'engagement de collaborateurs compétents, promouvoir une formation continue, développer un environnement de travail propice à la motivation et à la mobilité professionnelle dans l'optique d'assurer des prestations efficaces et de qualité (al. 2 ) ; le Conseil d'Etat prend les mesures nécessaires à la protection de la santé et de la personnalité des collaborateurs, en particulier par des dispositions de lutte contre le harcèlement et le mobbing…(al. 3). Selon l'art. 58 al. 1 let. b RLPers-VD, en cas d'absence pour cause de maladie ou d'accident constatée par certificat médical, le salaire est payé pour les collaborateurs engagés par contrat de durée indéterminée en entier pendant les douze premiers mois et au quatre cinquième pendant les trois mois suivants. L'alinéa 2 de cette disposition précise que dans tous les cas, le droit au salaire cesse dès la date à laquelle le collaborateur est reconnu définitivement invalide conformément aux dispositions de la LCP (Loi du 18 juin 1984 sur la Caisse de pensions de l'Etat de Vaud ; RSV 172.43). A teneur de l'art. 52 al. 2 LCP, est temporairement invalide l'assuré qui, incapable ensuite de maladie ou d'accident de remplir tout ou partie de sa fonction, voit son salaire réduit ou supprimé provisoirement. La procédure visant à déterminer si l'assuré est en droit de bénéficier d'une pension d'invalidité est décrite à l'art. 56 LCP qui prévoit qu'il appartient à la Caisse de statuer sur le droit de l'assuré à une pension d'invalidité (al. 4). c) ca) L’examen prima facie des dispositions précitées, auxquelles l'appelant se réfère dans son écriture, ne permet pas de considérer que le droit de l’intimé au versement d’un salaire ne serait pas rendu vraisemblable et que les conditions pour la suppression du droit au salaire de l’intimé seraient entièrement réalisées en l’état, comme le soutient l’appelant. En effet, d’une part, I’intimé est toujours engagé par l’Etat de Vaud, celui-ci paraissant reconnaître l'existence d’une incapacité fonctionnelle qui n’empêcherait pas son employé de travailler dans d’autres conditions. On ne peut donc inférer à première vue ni du dossier – en particulier des efforts consentis par l'appelant pour le transfert de l'intimé – ni des dispositions précitées que l’intimé n’aurait été engagé par l’appelant que pour fonctionner dans les conditions qui sont à l’origine de son incapacité fonctionnelle, soit pour travailler avec le supérieur avec lequel il est en conflit. D’autre part, la CPEV ne semble pas avoir statué à ce jour sur le droit de l’assuré à une pension d’invalidité, au sens de l’art. 56 al. 4 LCP, la procédure prévue à l’art. 56 LCP ne paraissant pas avoir été engagée. Dans la mesure où la CPEV s'est limitée à déterminer le montant hypothétique du salaire que l'intimé toucherait si son invalidité était reconnue (cf. pièce 108), on ignore à ce stade si celui-ci remplit les conditions de l'art. 52 LCP et s'il pourrait percevoir des prestations au sens de cette disposition. Partant, l’intimé, qui est toujours engagé par l’appelant et qui semble capable de travailler dans d'autres conditions, comme paraît l'admettre son employeur, a rendu vraisemblable son droit au salaire à ce stade de la procédure. cb) En l'espèce, le préjudice que l’intimé subirait en cas de suppression de son salaire est irréparable, puisque le salaire qu’il touche actuellement, réduit à 80 % (4’029 fr. 25), paraît lui permettre de préserver son minimum vital, soit ses conditions d'existence et celles de sa famille, compte tenu de ses charges, ce qui ne serait pas le cas si son salaire venait à être supprimé, dès lors qu’il ne peut prétendre, en l’état, à une prestation fondée sur la LCP comme exposé ci-avant. cc) Dans ces conditions, on ne voit pas en quoi l’admission de la requête d’effet suspensif par le premier juge constituerait une mesure disproportionnée, la pesée des intérêts en présence commandant de maintenir, en l'état, le droit au salaire actuel du requérant pour préserver ses conditions d'existence et celles de sa famille dès lors que la procédure au sens de l’art. 56 LCP ne paraît pas avoir été engagée et que l'intimé ne peut bénéficier d'indemnités de l'assurance-chômage. Mal fondé, le moyen de l'appelant doit être rejeté.</w:t>
      </w:r>
    </w:p>
    <w:p>
      <w:r>
        <w:rPr>
          <w:b/>
        </w:rPr>
        <w:t>E. 6</w:t>
      </w:r>
    </w:p>
    <w:p>
      <w:r>
        <w:t>L'appelant conclut subsidiairement à ce que le jugement soit modifié en ce  sens que l'intimé soit astreint à fournir des sûretés d'un montant fixé par le tribunal. Aux termes de l'art. 264 al. 1 CPC, le tribunal peut astreindre le requérant à fournir des sûretés si les mesures provisionnelles risquent de causer un dommage à la partie adverse. L'exigence de sûretés dépend des circonstances de l'espèce. Elles supposent, comme l'octroi des mesures elles-mêmes, une pesée des intérêts en jeu et se fondent sur la vraisemblance du dommage. Il se justifie d'y renoncer lorsque les mesures provisionnelles requises n'ont pas d'autre but que le maintien d'une situation conforme au droit. Plus le droit du requérant paraît fondé moins le dépôt de sûretés ne se justifie (Bohnet, op. cit., n° 4 ad art. 264 CPC). En l'espèce, tant les circonstances fondant le droit du requérant que la pesée des intérêts en jeu (c. 5c ci-avant) justifient de renoncer à astreindre le requérant à fournir des sûretés au sens de l'art. 264 al. 1 CPC. Aussi, on ne saurait considérer qu'en l'état, les mesures provisionnelles auraient un autre but que le maintien d'une situation conforme au droit.</w:t>
      </w:r>
    </w:p>
    <w:p>
      <w:r>
        <w:rPr>
          <w:b/>
        </w:rPr>
        <w:t>E. 7</w:t>
      </w:r>
    </w:p>
    <w:p>
      <w:r>
        <w:t>Au vu de ce qui précède, il y a lieu de rejeter l’appel en application de l'art. 312 al. 1 CPC. Le dispositif du jugement attaqué est réformé en ce sens que le ch. Il est caduc, dès lors que l’intimé a déposé sa demande dans l'intervalle ; il est maintenu pour le surplus. Les frais judiciaires de deuxième instance, arrêtés à 800 fr. (art. 16 al. 7 LPers-VD ; art. 65 al. 1 et 67 al. 3 TFJC a contrario [Tarif des frais judiciaires civils du 28 septembre 2010 ; RSV 270.11.5]) sont mis à la charge de l’appelant qui succombe (art. 106 al. 1 CPC). Il n'y pas lieu à l'allocation de dépens, l'intimé n'ayant pas été invité à se déterminer. Par ces motifs, la juge déléguée de la Cour d’appel civile du Tribunal cantonal, statuant à huis clos, en application de l'art. 312 al. 1 CPC, prononce : I. L'appel est rejeté. II. Le jugement est réformé comme suit : II.   (supprimé) Le jugement est confirmé pour le surplus. III. Les frais judiciaires de deuxième instance, arrêtés à 800 fr. (huit cents francs), sont mis à la charge de l'appelant Etat de Vaud. IV. L'arrêt motivé est exécutoire. La juge déléguée : Le greffier : Du 3 avril 2012 Le dispositif de l'arrêt qui précède est communiqué par écrit aux intéressés. Le greffier : Du L'arrêt qui précède, dont la rédaction a été approuvée à huis clos, est notifié en expédition complète, par l'envoi de photocopies, à : ‑ Service du personnel (pour l'Etat de Vaud) ‑ Me Patrick Mangold (pour Y.________). La juge déléguée de la Cour d’appel civile considère que la valeur litigieuse est supérieure à 15'000 francs. Le présent arrêt peut faire l’objet d’un recours en matière de droit public devant le Tribunal fédéral au sens des articles 82 et suivants de la loi du 17 juin 2005 sur le Tribunal fédéral (LTF – RS 173.110) dans la mesure où en matière de rapport de service, la valeur litigieuse dépasse 15'000 fr. (art. 85 al. 1 let. b LTF), cas échéant d’un recours constitutionnel subsidiaire au sens des articles 113 et suivants LTF. Ces recours doivent être déposés devant le Tribunal fédéral dans les trente jours qui suivent la notification de l’expédition complète (art. 100 al. 1er LTF). Cet arrêt est communiqué, par l'envoi de photocopies, à : ‑ Mme la Présidente du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