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229 vom 8. März 2013</w:t>
      </w:r>
    </w:p>
    <w:p>
      <w:r>
        <w:t>VD Tribunal cantonal, 2013-03-08, FR</w:t>
      </w:r>
    </w:p>
    <w:p>
      <w:r>
        <w:rPr>
          <w:b/>
        </w:rPr>
        <w:t xml:space="preserve">Quelle: </w:t>
      </w:r>
      <w:r>
        <w:t>https://mcp.opencaselaw.ch/entscheid/vd_findinfo_HC___2013___229</w:t>
      </w:r>
    </w:p>
    <w:p>
      <w:r>
        <w:t>FR: VD_FINDINFO HC / 2013 / 229 du 8 mars 2013</w:t>
      </w:r>
    </w:p>
    <w:p>
      <w:r>
        <w:t>IT: VD_FINDINFO HC / 2013 / 229 del 8 marzo 2013</w:t>
      </w:r>
    </w:p>
    <w:p>
      <w:pPr>
        <w:pStyle w:val="Heading2"/>
      </w:pPr>
      <w:r>
        <w:t>Regeste</w:t>
      </w:r>
    </w:p>
    <w:p>
      <w:r>
        <w:t>POUVOIR DE REPRÉSENTATION, REPRÉSENTATION, APPRÉCIATION DES PREUVES, TÉMOIN | 32 CO, 157 CPC (CH), 316 al. 3 CPC (CH)</w:t>
      </w:r>
    </w:p>
    <w:p>
      <w:pPr>
        <w:pStyle w:val="Heading2"/>
      </w:pPr>
      <w:r>
        <w:t>Erwägungen</w:t>
      </w:r>
    </w:p>
    <w:p>
      <w:r>
        <w:rPr>
          <w:b/>
        </w:rPr>
        <w:t>E. 1</w:t>
      </w:r>
    </w:p>
    <w:p>
      <w:r>
        <w:t>a) La décision attaquée a été communiquée le 12 avril 2012, de sorte que les voies de droit sont régies par le Code de procédure civile du 19 décembre 2008 (ci-après: CPC, RS 272), entré en vigueur le 1 er janvier 2011 (art. 405 al. 1 CPC). b)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interjeté en temps utile contre une décision finale rendue dans une affaire patrimoniale dont la valeur litigieuse est supérieure à 10'000 fr., le présent appel est recevable. c) Dès lors que le présent procès était en cours au 1 er janvier 2011, le droit contrôlé est l'ancien droit de procédure, applicable jusqu'à la clôture de l'instance, soit en particulier les dispositions du Code de procédure civile vaudoise du 14 décembre 1966 (ci-après : CPC-VD) (art. 404 al. 1 CPC; Tappy, Le droit transitoire applicable lors de l'introduction de la nouvelle procédure civile unifiée, in JT 2010 III 11, pp. 18 et 38).</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pp. 136-137). Il appartient à l'appelante de démontrer si ces conditions sont réalisées, de sorte que l'appel doit indiquer spécialement de tels faits et preuves nouveaux et motiver spécialement les raisons qui les rendent admissibles selon lui (Tappy, op. cit., JT 2010 III 115, pp. 136-137; JT 2011 III 43 c. 2). En l'espèce, outre le jugement attaqué (P. 1), l'appelante a produit les jugements rendus par le Tribunal correctionnel de l'arrondissement de l'Est vaudois les 11 octobre 2010 (P. 2), 6 février 2012 (P.3) et 3 décembre 2012 (P. 4). Les pièces 2 et 3 produites par l'appelante l'ont déjà été lors de l'audience du 23 février 2012, si bien qu'il ne s'agit pas de pièces nouvelles. En revanche, la pièce 4 est postérieure au jugement attaqué et ne pouvait donc pas être produite en première instance. Produite sans retard à l'appui de l'appel, cette pièce, qui comporte de vrais novas, est recevable. c) L'appelante a requis une nouvelle audition des témoins T.________ et N.________, au motif que ces témoins n'auraient pas tenu les propos retenus par le tribunal et qu'ils n'ont pas même été interrogés sur la communication d'une éventuelle procuration apparente à A.F.________.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2011, n. 5 ad art. 316 CPC, p. 1263).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En l'espèce, trois témoins ont été entendus en première instance. Le résultat de l'administration des preuves relative à ces témoignages a été résumé en page 24 du jugement notamment, et le jugement s'y réfère également dans la partie droit. Ces témoignages n'ont pas été protocolés, comme le permettait le CPC-VD applicable à l'instance, dès lors que la procédure a été introduite avant le 1 er janvier 2011. L'appelante affirme que les propos des témoins ont été tronqués, sans toutefois exposer quelles furent les déclarations de ces témoins ni produire ses propres notes. Elle se contente de dire que les témoins n'ont, selon ses propres notes, pas déclaré que S.________ et H.________ avaient connaissance que J.________ signait seul des contrats. Ces griefs, trop vagues, ne permettent pas de retenir qu'une nouvelle audition s'impose. En outre, l'appelante a pu, par son conseil, poser des questions à ces témoins, de sorte qu'elle ne saurait reprocher au premier juge de n'avoir pas instruit sur des faits importants. Il appartenait à l'appelante de requérir la verbalisation des déclarations de ces témoins, ce qu'elle n'a pas fait (JT 2001 III 80). Il y a donc lieu de s'en tenir à l'appréciation des premiers juges sur le contenu de ces témoignages, que d'autres éléments du dossier viennent corroborer (cf. c. 4 ci-après).</w:t>
      </w:r>
    </w:p>
    <w:p>
      <w:r>
        <w:rPr>
          <w:b/>
        </w:rPr>
        <w:t>E. 3</w:t>
      </w:r>
    </w:p>
    <w:p>
      <w:r>
        <w:t>a) L'appelante reproche aux premiers juges de n'avoir pas repris les éléments de faits qui ressortent de la plainte pénale déposée le 11 décembre 2007 par S.________ et H.________, de la pièce 102 établie le 13 mai 2007 par J.________, de l'ordonnance de renvoi du 6 juillet 2009, ainsi que des jugements pénaux. b) Conformément à l'art. 157 CPC, le tribunal établit sa conviction sur une libre appréciation des preuves administrées. En outre, l'art. 53 CO (Code des obligations du 30 mars 1911, RS 220), qui est applicable à tout le droit privé, régit l'indépendance du juge civil envers le droit pénal, l'acquittement prononcé par le juge pénal et les décisions du juge pénal en général. La jurisprudence relative à cette disposition a précisé que l'indépendance du juge civil en matière de constatation et d'appréciation de l'état de fait n'empêche certes pas le juge civil d'attendre le résultat de la procédure probatoire de l'instruction pénale et de la prendre en compte. Le fait que, dans ce cas, il ne s'écartera pas sans raison de l'appréciation du juge pénal est une question d'opportunité (cf. ATF 125 III 401 c. 3, JT 2000 I 110). Cette jurisprudence reste valable sous l'égide du CPC, l'art. 126 CPC indiquant que le tribunal peut ordonner la suspension de la procédure si des motifs d'opportunité le commandent, la procédure pouvant notamment être suspendue lorsque la décision dépend du sort d'un autre procès (Oberhammer, Kurzkommentar ZPO, 2010, n. 7 ad art. 126 p. 536; Sutter-Somm/Hasenböhler/ Leuenberger, Kommentar zur Schweizerischen Zivilprozesseordnung, 2 e éd. 2013 n. 4 ad art. 126 CPC, p. 949). c) En l'espèce, l'état de fait a été complété au moyens des pièces figurant au dossier, dans le cadre du large pouvoir d'examen de la Cour de céans. Cela étant, le jugement par défaut rendu le 11 octobre 2010 par le Tribunal correctionnel de l'arrondissement de l'Est vaudois à l'encontre de J.________ n'est pas définitif. Le prévenu a en effet présenté une première requête de relief, laquelle a toutefois abouti à la confirmation de ce premier jugement, l'intéressé ne s'étant pas présenté  à l'audience du 6 février 2012; celui-ci a ensuite déposé une demande de nouveau jugement; cette demande a été rejetée par jugement du 3 décembre 2012, qui fait l'objet d'un appel toujours pendant. La procédure pénale n'étant pas achevée, on ne saurait considérer que les faits fondant une condamnation pénale sont établis. On ne saurait non plus faire grief aux premiers juges de n'avoir pas motivé les raisons pour lesquelles ils n'ont pas retenu des faits ressortant de l'ordonnance pénale ou du jugement pénal, ces faits n'étant pas établis. Surtout, l'intimé n'est pas partie à la procédure pénale et n'a en particulier pas participé à l'audience du 11 octobre 2010. On ne saurait en conséquence considérer que des faits pertinents pour la présente cause civile font l'objet de la procédure pénale. Ne sont déterminantes ici que les circonstances de la vente du véhicule à l'intimé et non le comportement de J.________ dans d'autres ventes, rien n'indiquant que celui-ci n'avait qu'un seul modus operandi . Quoi qu'il en soit, les faits tels qu'ils ressortent du jugement pénal du 11 octobre 2010 ne sont d'aucun secours pour l'appelante, dès lors que ce jugement retient que J.________ agissait au nom de G.________Sàrl, ou au nom de Z.________, et que, en percevant un acompte sur la vente d'un véhicule au lieu de le verser à la société, il avait détourné des fonds destinés à celle-ci, répondant ainsi d'abus de confiance à son égard. Quant à la pièce 102, dont il ressort que, le 13 mai 2007, J.________ a attesté que le contrat de vente conclu avec A.F.________ avait été établi abusivement au nom et à l'entête de G.________Sàrl, que ce contrat avait été établi uniquement entre lui et A.F.________, et qu'il assumait l'entière responsabilité de cette vente, les premiers juges ne l'ont pas omise, contrairement à ce qu'affirme l'appelante, mais en ont discuté dans la partie droit, pour retenir, en substance, qu'elle réglait les rapports entre J.________ et ses associés et ne pouvait ainsi être opposée au demandeur de bonne foi. Ces griefs doivent donc être rejetés.</w:t>
      </w:r>
    </w:p>
    <w:p>
      <w:r>
        <w:rPr>
          <w:b/>
        </w:rPr>
        <w:t>E. 4</w:t>
      </w:r>
    </w:p>
    <w:p>
      <w:r>
        <w:t>L'appelante soutient que les témoins S.________ et H.________ n'ont jamais déclaré qu'ils savaient que J.________ signait seul des contrats, qu'ils ne s'y sont jamais opposés et que, lorsqu'ils ont eu connaissance de clients mécontents, ils sont intervenus pour tenter de débloquer les situations, parfois avec succès. Elle prétend que S.________ et H.________ se sont aperçus que J.________ signait seul certains contrats lorsqu'ils ont réalisé que les prix de vente correspondants avaient été crédités sur le compte de la société. Il résulte des pièces au dossier que le 4 février 2006, J.________, agissant au nom de la société et signant seul le contrat à l'entête de celle-ci, a vendu une voiture Nissan à N.________ et que le prix de vente de 62'000 fr. a été crédité le 9 février suivant sur le compte de l'appelante. En outre, le 25 février 2006, J.________ a vendu à [...] un véhicule Nissan pour 36'900 euros et le 16 mars 2006, le compte de la société a été crédité de cette somme, soit de 57'076 fr. 05. Ainsi, S.________ et H.________ ne pouvaient pas ignorer, en mars 2006, que J.________ concluait seul des contrats. Aucun élément du dossier ne permet de retenir qu'ils se seraient opposés à cette pratique, au moment où la vente a été conclue avec l'intimé. Il est de plus établi qu'ils ont tenté de satisfaire les clients mécontents comme cela ressort des témoignages et de la lettre de S.________ et H.________ du 27 février 2007. Enfin, H.________ et S.________ ont reçu copie des courriels de mise en demeure adressés par B.F.________ à G.________Sàrl les 26 juin et 27 septembre 2006 sans objecter, sinon cinq mois plus tard, que le contrat ne concernait pas la société. Ce grief, mal fondé, doit dès lors être rejeté.</w:t>
      </w:r>
    </w:p>
    <w:p>
      <w:r>
        <w:rPr>
          <w:b/>
        </w:rPr>
        <w:t>E. 5</w:t>
      </w:r>
    </w:p>
    <w:p>
      <w:r>
        <w:t>a) L'appelante reproche aux premiers juges de ne pas avoir fondé leur raisonnement sur l'art. 933 al. 1 CO, qui prévoit que les tiers auxquels une inscription dans le registre du commerce est devenue opposable ne peuvent se prévaloir de ce qu'ils l'ont ignorée, le contenu de l'inscription étant alors qualifié de fait notoire (TF 2C_952/2010 du 29 mars 2011, c. 2.3). Selon l'appelante, l'inscription du pouvoir de signature collective à deux des associés gérants de G.________Sàrl figurait au registre du commerce et était par conséquent opposable aux tiers, même de bonne foi. L'appelante relève qu'il ne ressort pas du dossier que J.________ se serait vu conférer un pouvoir exprès d'engager l'appelante par sa signature individuelle. En l'espèce, il est évident que, dès lors qu'il n'était inscrit au registre du commerce qu'avec une signature collective à deux, J.________ ne pouvait pas conclure seul un contrat de vente au nom de l'appelante en se fondant sur les pouvoirs inscrits au registre du commerce. Cela n'est toutefois pas déterminant. En effet, une personne morale, tout comme une personne physique, peut désigner un représentant, selon les mécanismes généraux des art. 32 ss CO, pour accomplir en son nom un ou plusieurs actes déterminés, même si le représentant est par ailleurs l'un de ses organes (cf. TF 4A_271/2009 du 3 août 2009;  TF 4C_293/2006 du 17 novembre 2006 c. 2.1.3). Lorsque le représentant dispose d'un pouvoir inscrit au registre du commerce, on n'admettra qu'avec retenue l'existence d'un pouvoir apparent allant au-delà de l'inscription au registre du commerce (ATF 120 II 197 c. 2b/bb, JT 1995 I 194). La question décisive ici est donc de savoir si J.________ pouvait engager l'appelante en tant que représentant direct sur la base des art. 32 ss CO. b) Pour qu'il y ait représentation directe, il faut tout d'abord que le représentant agisse au nom du représenté (art. 32 al. 1 CO), sous réserve des exceptions prévues par l'art. 32 al. 2 CO qui n'entrent pas en considération ici. L'art. 32 al. 1 CO dispose que les droits et les obligations dérivant d'un contrat fait au nom d'une autre personne par un représentant autorisé passent au représenté. Il s'ensuit que le représentant n'est pas lié par l'acte accompli: le représenté est seul lié au tiers, dont il devient directement créancier ou débiteur (Chappuis, Commentaire romand Code des obligations I, Thévenoz/Werro (éd.), 2012, n. 20 ad art. 32 CO, p. 284).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c. 4.1; ATF 126 III 59 c. 1b). La représentation directe suppose que le représentant agisse expressément (art. 32 al. 1 CO) ou tacitement au nom du représenté (art. 32 al. 2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4C.199/2004 du 11 janvier 2005 c. 7.1; TF 4C.296/1995 du 26 mars 1996, publié in SJ 1996 p. 554, c. 5c et les auteurs cités). Enfin, 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 3.1). c) Les deux derniers cas de figure sont réalisés en l'espèce. Le contrat a été signé sur papier à entête de G.________Sàrl par J.________ seul. Lors des discussions précédant la signature du contrat, l'intimé a rencontré le témoin N.________ qui s'intéressait à la même voiture que lui et qui a passé un contrat avec J.________ seul. Ce témoin a confirmé que J.________ se trouvait presque tous les jours dans les locaux de l'entreprise et que le choix des véhicules passait par lui. Des discussions ont eu lieu entre ce témoin, l'intimé, S.________ et H.________. Ces deux derniers connaissaient les désirs d'achat de ces clients. Ils savaient que J.________ concluait seul des contrats au nom de la société. Rien n'indique que ces deux associés auraient laissé entendre à l'intimé, ou à N.________, que  J.________ n'était pas autorisé à agir seul et qu'il n'agissait pas au nom de G.________Sàrl, bien au contraire. En outre, dans son attestation du 13 mai 2007, J.________ reconnaît avoir établi, en tant qu'associé gérant, un contrat de vente avec l'intimé et que ce contrat a été abusivement libellé au nom et à l'entête de la société G.________Sàrl. Cette pièce démontre également  que J.________ a fait croire à l'acheteur qu'il agissait au nom de la société et que celui-ci pouvait déduire des circonstances de la vente que la société était engagée. Ainsi, l'intimé pouvait croire de bonne foi qu'il existait un rapport de représentation et que J.________ agissait pour le compte de la société. Le fait que le prix de vente n'a pas été versé à G.________Sàrl, contrairement aux conditions générales du contrat, mais à J.________ n'y change rien, dès lors que les apparences étaient telles que cet élément n'est pas suffisant pour retenir que l'intimé devait se rendre compte que la société n'était pas engagée. Enfin, H.________ et S.________ sont intervenus et ont tenté plusieurs fois "d'arranger les choses", selon leur lettre du 27 février 2007 et les déclarations du témoin B.F.________, laissant ainsi croire que la société assumait les conséquences de la vente. On ne saurait retenir, comme le plaide l'appelante, qu'elle s'est tue et que son silence ne vaudrait pas ratification. Elle a au contraire réagi en tentant d'honorer le contrat, de sorte qu'elle a ainsi ratifié l'engagement pris par J.________. En définitive, l'appelante argumente sur la base d'un état de fait autre que celui retenu par les premiers juges et par la Cour de céans, de sorte que ses griefs doivent être rejetés.</w:t>
      </w:r>
    </w:p>
    <w:p>
      <w:r>
        <w:rPr>
          <w:b/>
        </w:rPr>
        <w:t>E. 6</w:t>
      </w:r>
    </w:p>
    <w:p>
      <w:r>
        <w:t>Au vu de ce qui précède, l'appel doit être rejeté dans la procédure de l'art. 312 al. 1 CPC, et le jugement entrepris confirmé. Les frais judiciaires de deuxième instance, arrêtés à 1'610 fr. (62 al. 1 TFJC [tarif des frais judiciaires civils du 28 septembre 2010, RSV 270.11.5]), seront mis à la charge de l'appelante qui succombe. Il n'est pas alloué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