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227 vom 16. April 2012</w:t>
      </w:r>
    </w:p>
    <w:p>
      <w:r>
        <w:t>VD Tribunal cantonal, 2012-04-16, FR</w:t>
      </w:r>
    </w:p>
    <w:p>
      <w:r>
        <w:rPr>
          <w:b/>
        </w:rPr>
        <w:t xml:space="preserve">Quelle: </w:t>
      </w:r>
      <w:r>
        <w:t>https://mcp.opencaselaw.ch/entscheid/vd_findinfo_HC___2013___227</w:t>
      </w:r>
    </w:p>
    <w:p>
      <w:r>
        <w:t>FR: VD_FINDINFO HC / 2013 / 227 du 16 avril 2012</w:t>
      </w:r>
    </w:p>
    <w:p>
      <w:r>
        <w:t>IT: VD_FINDINFO HC / 2013 / 227 del 16 aprile 2012</w:t>
      </w:r>
    </w:p>
    <w:p>
      <w:pPr>
        <w:pStyle w:val="Heading2"/>
      </w:pPr>
      <w:r>
        <w:t>Regeste</w:t>
      </w:r>
    </w:p>
    <w:p>
      <w:r>
        <w:t>PROTECTION DE L'UNION CONJUGALE, DROIT DE GARDE, RETRAIT DU DROIT DE GARDE | 176 al. 3 CC, 310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est supérieure à 10'000 francs (art. 308 al. 2 CPC). Les ordonnances de mesures protectrices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non patrimoniales,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et note approbatrice de Tappy) considère qu'en appel les novas sont soumis au régime ordinaire (en ce sens Tappy, op. cit., JT 2010 III 115; Hohl, Procédure civile, Tome II, 2 e éd., 2010, n. 2410, p. 437). Le Tribunal fédéral a approuvé cette interprétation de la loi (TF 4A_228/2012 du 28 août 2012 c. 2). Des novas peuvent par ailleurs être en principe librement introduits dans les causes régies par la maxime inquisitoire illimitée, par exemple sur la situation des enfants mineurs en droit matrimonial (Tappy, op. cit., pp. 136-137; Jeandin, CPC commenté, Bâle 2011, n. 5 ad art. 296 CPC et les réf. citées). En l'espèce, la maxime inquisitoire illimitée étant applicable, les pièces produites par les parties sont recevables. c)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p. 148).</w:t>
      </w:r>
    </w:p>
    <w:p>
      <w:r>
        <w:rPr>
          <w:b/>
        </w:rPr>
        <w:t>E. 3</w:t>
      </w:r>
    </w:p>
    <w:p>
      <w:r>
        <w:t>a) L'appelante reproche au premier juge d'avoir maintenu le retrait du droit de garde. Elle estime que cette mesure est disproportionnée et qu'elle ne se justifie plus. Selon elle, l'instauration d'une curatelle éducative est suffisante pour protéger les intérêts de l'enfant. Elle relève que les experts ont indiqué que l'enfant devrait pouvoir vivre à ses côtés, pour autant qu'elle dispose de son propre logement, ce qui est le cas.  L'appelante fait en outre valoir que, comme l'ont noté les experts, le placement de P.________ chez ses grands-parents la met dans une position de rivalité avec sa belle-mère, situation qui nuit au développement du lien mère-enfant. L'appelante fait également grief au premier juge d'avoir en quelque sorte mis en place une solution de garde alternée durant six mois, mesure qui ne sera pas apte à apporter à l'enfant l'équilibre dont elle a besoin. Soulignant que les experts ont constaté qu'elle présentait de bonnes capacités parentales et qu'elle disposait de davantage de temps pour s'occuper de son enfant, l'appelante conclut à ce que la garde lui soit attribuée, précisant qu'elle ne s'opposera nullement à l'exercice par le père de l'enfant d'un droit de visite usuel. L'intimé relève pour sa part que, depuis que l'enfant est placée chez sa grand-mère, elle évolue favorablement, développant de bonnes compétences sociales. Si les experts ont relevé que cette situation ne pouvait se prolonger trop longtemps, ils n'ont pas tranché la question de l'attribution du droit de garde à l'un ou l'autre des parents, si bien que c'est à juste titre que le premier juge a décidé qu'il convenait de laisser le soin au SPJ, gardien depuis plus d'une année, de formuler toute proposition sur cette question.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Lorsque les capacités éducatives des parents sont égales et qu'il s'agit d'enfants en bas âge, la garde est attribuée au parent qui présente de meilleures disponibilités pour s'occuper personnellement de l'enfant (TF 5A_223/2012 du 13 juillet 2012; TF 5A_905/2011 du 28 mars 2012; TF 5A_492/2011 du 28 février 2012). Le juge appelé à se prononcer sur le fond qui, par son expérience en la matière, connaît mieux les parties et le milieu dans lequel l'enfant est amené à vivre, dispose d'un large pouvoir d'appréciation (ATF 117 II 353 c. 2; TF 5A.860/2009 du 26 mars 2010 c. 3.1). A teneur de l'art. 310 al. 1 CC, lorsqu'elle ne peut éviter autrement que le développement de l'enfant ne soit compromis, l'autorité tutélaire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w:t>
      </w:r>
    </w:p>
    <w:p>
      <w:r>
        <w:rPr>
          <w:b/>
        </w:rPr>
        <w:t>E. 4</w:t>
      </w:r>
    </w:p>
    <w:p>
      <w:r>
        <w:t>Au vu de ce qui précède, l'appel doit être admis. Compte tenu du fait que la restitution du droit de garde à la mère a pour conséquence que le droit de visite du père et la contribution d'entretien devront être réglées, questions sur lesquelles il n'a pas été instruit en première instance, il y a lieu d'annuler l'ordonnance entreprise et de renvoyer la cause au premier juge pour qu'il statue dans le sens des considérants. Les frais judiciaires de deuxième instance, arrêtés à 600 fr. (art. 65 al. 2 TFJC [tarif des frais judiciaires civils du 28 septembre 2010, RSV 270.11.5]), seront mis à la charge de l'intimé qui succombe. Obtenant gain de cause, l'appelante a droit à des dépens de deuxième instance qui peuvent être arrêtés à 2'500 francs. Me Eve Dolon Delaloye, qui a été le conseil d'office de l'appelante pour la procédure d'appel, a produit la liste des opérations accomplies depuis le 6 février 2012, indiquant que le solde en faveur de son étude s'élève à 8'211 fr. 96, sans préciser le temps consacré. Dès lors que l'assistance judiciaire lui a été accordée avec effet au 29 janvier 2013, il ne saurait être tenu compte de toutes les opérations indiquées. Compte tenu de la nature du litige et de sa difficulté, et au vu de l'activité déployée pour la procédure d'appel, une indemnité d'honoraire de 1'800 fr., représentant dix heures de travail au tarif horaire de 180 fr. (art. 2 al. 1 let. a RAJ [règlement sur l'assistance judiciaire en matière civile du 7 décembre 2010, RSV 211.02.]) paraît suffisante pour rémunérer équitablement le conseil d'office. En l'absence de liste des débours, une indemnité forfaitaire de 100 fr. lui sera allouée en remboursement de ses débours. En définitive, l'indemnité d'office pour la procédure d'appel allouée à l'appelante pour le cas où les dépens ne pourraient pas être recouvrés (art. 4 RAJ) sera ainsi arrêtée à 2'052 fr., TVA et débours compris. La bénéficiaire de l'assistance judiciaire est, dans la mesure de l'art. 123 CPC, tenue au remboursement de l'indemnité au conseil d'office laissée à la charge de l'Etat. Par ces motifs, le Juge délégué de la Cour d'appel civile du Tribunal cantonal, statuant à huis clos, prononce : I. L'appel est admis. II. L'ordonnance est annulée et la cause renvoyée au Président du Tribunal civil de l'arrondissement de Lausanne pour qu'il procède dans le sens des considérants. III. Les frais judiciaires de deuxième instance, arrêtés à 600 fr. (six cents francs), sont mis à la charge de l'intimé. IV. L'indemnité d'office de Me Eve Dolon Delaloye, conseil d'office de l'appelante, est arrêtée à 2'052 fr. (deux mille cinquante-deux francs), TVA et débours compris. V. La bénéficiaire de l'assistance judiciaire est, dans la mesure de l'art. 123 CPC, tenue au remboursement de l'indemnité de son conseil d'office mis à la charge de l'Etat. VI. L'intimé T.Y.________ doit verser l'appelante R.Y.________ la somme de 2'500 fr. (deux mille cinq cents francs) à titre de dépens de deuxième instance. VII. L'arrêt est exécutoire. Le juge délégué : La greffière : Du L'arrêt qui précède, dont la rédaction a été approuvée à huis clos, est notifié en expédition complète, par l'envoi de photocopies à : - Me Anne-Louise Gillièron, avocate (pour R.Y.________), ‑ Me Gloria Capt, avocate (pour T.Y.________), ‑ Me Eve Dolon Delaloye, avocate.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