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221 vom 26. Februar 2013</w:t>
      </w:r>
    </w:p>
    <w:p>
      <w:r>
        <w:t>VD Tribunal cantonal, 2013-02-26, FR</w:t>
      </w:r>
    </w:p>
    <w:p>
      <w:r>
        <w:rPr>
          <w:b/>
        </w:rPr>
        <w:t xml:space="preserve">Quelle: </w:t>
      </w:r>
      <w:r>
        <w:t>https://mcp.opencaselaw.ch/entscheid/vd_findinfo_HC___2013___221</w:t>
      </w:r>
    </w:p>
    <w:p>
      <w:r>
        <w:t>FR: VD_FINDINFO HC / 2013 / 221 du 26 février 2013</w:t>
      </w:r>
    </w:p>
    <w:p>
      <w:r>
        <w:t>IT: VD_FINDINFO HC / 2013 / 221 del 26 febbraio 2013</w:t>
      </w:r>
    </w:p>
    <w:p>
      <w:pPr>
        <w:pStyle w:val="Heading2"/>
      </w:pPr>
      <w:r>
        <w:t>Regeste</w:t>
      </w:r>
    </w:p>
    <w:p>
      <w:r>
        <w:t>DIVORCE, ACTION EN MODIFICATION, MESURE PROVISIONNELLE, OBLIGATION D'ENTRETIEN, ENFANT | 308 al. 1 let. b CPC (CH), 308 al. 2 CPC (CH), 310 CPC (CH), 312 al. 1 CPC (CH)</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Toutefois, des novas peuvent être en principe librement introduits dans les causes régies par la maxime inquisitoire illimitée, par exemple sur la situation des enfants mineurs en droit matrimonial (Tappy, Les voies de droit du nouveau Code de procédure civile, in JT 2010 III 115, spéc. pp. 136-137; Jeandin, op. cit., n. 5 ad art. 296 CPC et les réf. citées). En effet, dans les causes touchant au sort des enfants et aux conséquences pécuniaires de celui-ci, le droit fédéral impose la maxime d'office et la maxime inquisitoire. Avant l'entrée en vigueur du CPC, ces exigences étaient fixées à l'art. 145 al. 1 aCC (Code civil suisse du 10 décembre 1907; RS 210), qui avait codifié la jurisprudence antérieure (cf. Message, in FF 1996 I, pp. 1 ss, spéc. p. 148; ATF 122 III 404 c. 3d, JT 1998 I 46; ATF 120 II 229 c. 1c; ATF 119 II 201 c. 1; Poudret/Haldy/Tappy, Procédure civile vaudoise, 3 e éd., Lausanne 2002, n. 3 ad art. 455 CPC-VD [Code de procédure civile vaudoise du 14 décembre 1966, en vigueur jusqu'au 31 décembre 2010]), ainsi qu'à l'art. 455 CPC-VD; ces mêmes exigences sont désormais ancrées à l'art. 296 al. 1 et 3 CPC. Le juge doit ainsi statuer d'office sur les questions touchant au sort des enfants et aux conséquences pécuniaires de celui-ci, sans être limité par les moyens et conclusions des parties, et ordonner toutes preuves utiles à l'établissement d'un état de fait suffisant (ATF 122 III 404 précité; ATF 120 II 229 précité; Werro, Concubinage, mariage et démariage, Berne 2000, n. 736 p. 160 et n. 875 p. 189; Sutter/Freiburghaus, Kommentar zum neuen Scheidungsrecht, Zurich 1999, nn. 10 et 11 ad art. 145 CC; Poudret/Haldy/ Tappy, op. cit., n. 1 ad art. 3 CPC-VD; Jeandin, op. cit., nn. 2 ss et 14 ss ad art. 296 CPC). La cause étant en l'espèce soumise à la maxime inquisitoire illimitée vu qu'elle porte sur l'entretien d'un enfant mineur, les pièces produites par l'appelant sont recevables, sans qu'il importe de savoir si elles auraient ou non pu être produites en première instance. c) Dans le cadre de mesures provisionnelles, le juge statue sur la base de la simple vraisemblance après une administration limitée des preuves (ATF 120 II 352 c. 2b), en se fondant sur les moyens de preuve immédiatement disponibles (ATF 131 III 473 c. 2.3 in limine ; TF 5A_497/2011 du 5 décembre 2011 c. 3.2; TF 5A_41/2011 du 10 août 2011 c. 4.2 in fine ; TF 5A_4/2011 du 9 août 2011 c. 3.2; TF 5A_720/2009 du 18 janvier 2010 c. 5.3).</w:t>
      </w:r>
    </w:p>
    <w:p>
      <w:r>
        <w:rPr>
          <w:b/>
        </w:rPr>
        <w:t>E. 3</w:t>
      </w:r>
    </w:p>
    <w:p>
      <w:r>
        <w:t>a) Seule est litigieuse la contribution due par l'appelant pour l'entretien de l'enfant des parties. Ex aequo et bono , le premier juge a réduit la pension à 300 francs par mois, montant dont l'appelant fait valoir qu'il entame son minimum vital, par 1'200 fr., dès lors que, après paiement du loyer par 1'400 fr., il ne lui reste que 1'242 fr. à disposition sur le montant de 2'382 fr. dont il bénéficie au titre du revenu d'insertion. Il est exact de dire qu'une pension mensuelle de 300 fr. entame arithmétiquement parlant le minimum vital de l'appelant. Mais l'appelant perd de vue que le premier juge a considéré qu'il pouvait réaliser un revenu qui lui permettrait de payer cette pension, très modeste. Le premier juge a ainsi fait application de la théorie du revenu hypothétique. Pour fixer la contribution d'entretien, le juge doit en principe tenir compte du revenu effectif du débirentier. Il peut toutefois lui imputer un revenu hypothétique supérieur. Une telle imputation ne revêt pas un caractère pénal. Il s'agit simplement d'inciter la personne à réaliser le revenu qu'elle est en mesure de se procurer et dont on peut raisonnablement exiger d'elle qu'elle l'obtienne afin de remplir ses obligations (ATF 128 III 4 c. 4a; TF 5A_290/2010 du 28 octobre 2010 c. 3.1, publié in SJ 2011 I 177). Les critères qui permettent de retenir un revenu hypothétique sont différents en droit de la famille et en droit des assurances sociales. En droit de la famille, lorsque l'entretien d'un enfant mineur est en jeu et que l'on est en présence de situations financières modestes, des exigences particulièrement élevées doivent être posées quant à la mise à profit de la capacité de gain du parent débirentier. Celui-ci peut ainsi notamment se voir imputer un revenu basé sur une profession qu'il n'aurait pas eu à accepter selon les règles prévalant en matière d'assurance sociale. Il faut par conséquent aussi tenir compte des possibilités de gain qui n'exigent pas de formation professionnelle achevée et se situent dans la tranche des bas salaires (ATF 137 III 118 c. 3.1, JT 2011 II 486; TF 5A_21/2012 du 3 mai 2012 c. 3.3; TF 5A_588/2010 du 12 janvier 2011 c. 2.3). Les parents doivent dès lors s'adapter tant du point de vue professionnel que du point de vue spatial pour épuiser de manière maximale leur capacité de travail (TF 5A_513/2012 du 17 octobre 2012 c. 5, in FamPra.ch 2013 p. 236). A cet égard,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 2011 du 26 septembre 2011 c. 7.4.2; TF 5A_724/2009 du 26 avril 2010 c. 5.3, in FamPra.ch 2010 p. 673). Il n'y a rien à redire à l'application de la théorie du revenu hypothétique en l'espèce. Il y a lieu de relever ainsi que l'appelant est dans la force de l'âge et qu'il ne conteste pas être en bonne santé. Lorsqu'il travaillait, il percevait un revenu de 5'500 fr. par mois; il n'établit pas avoir cherché du travail après sa période de chômage. Cela étant, on peut raisonnablement exiger de l'appelant qu'il exerce une activité lucrative – que ce soit dans le même domaine que précédemment ou dans un secteur faisant appel à des compétences analogues, voire dans une catégorie de postes n'exigeant pas de formation professionnelle achevée et se situant dans la tranche des bas salaires – afin de remplir ses obligations, et ses possibilités de retrouver un emploi apparaissent réelles. A cet égard, en arrêtant le montant de la pension litigieuse à 300 fr., le premier juge a très largement tenu compte du fait que l'appelant ne pourrait peut-être pas retrouver un travail aussi rémunérateur qu'auparavant d'une part, et d'autre part, du fait que l'enfant des parties vivait en l'état au Sénégal, pays dans lequel le coût de la vie est notoirement plus bas qu'en Suisse. Le raisonnement du premier juge échappe par conséquent à la critique. b) L'appelant fait encore grief au premier juge de n'avoir pas actualisé les éléments relatifs à la situation de la mère de l'enfant. Il ne prétend cependant pas que la situation financière de l'intimée a notablement changé. Le premier juge n'avait dès lors pas à l'instruire, s'agissant d'une action en modification de divorce où seuls les changements notables comptent (art. 129 al. 1 CC). Partant, le moyen doit être rejeté. c) L'appelant fait enfin valoir que sa nouvelle épouse au Sénégal donnera naissance à un enfant au mois de mai 2013. Il réclame que cet élément soit pris en compte dans le calcul de la pension à verser à l'enfant C.P.________. En l'état, il y a lieu de relever que l'enfant à naître n'est pas encore né, et que la question pourra être réexaminée en temps voulu. Prématuré, le moyen de l'appelant doit dès lors être rejeté.</w:t>
      </w:r>
    </w:p>
    <w:p>
      <w:r>
        <w:rPr>
          <w:b/>
        </w:rPr>
        <w:t>E. 4</w:t>
      </w:r>
    </w:p>
    <w:p>
      <w:r>
        <w:t>En définitive, l'appel doit être rejeté, en application de l'art. 312 al. 1 CPC, et l'ordonnance entreprise doit être confirmée. La requête d'assistance judiciaire déposée par l'appelant est rejetée, la cause étant d'emblée dénuée de chances de succès (art. 117 let. b CPC). Les frais judiciaires de deuxième instance, arrêtés à 600 fr. (art. 65 al. 2 TFJC [tarif des frais judiciaires civils du 28 septembre 2010; RSV 270.11.5]), sont mis à la charge de l'appelant (art. 106 al. 1 CPC). Il n'y a pas lieu d'allouer de dépens de deuxième instance, l'intimée n'ayant pas été invitée à se déterminer.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A.P.________. V. L'arrêt motivé est exécutoire. Le juge délégué : Le greffier : Du 27 février 2013 Le dispositif de l'arrêt qui précède est communiqué par écrit aux intéressés. Le greffier : Du L'arrêt qui précède, dont la rédaction a été approuvée à huis clos, est notifié en expédition complète, par l'envoi de photocopies, à : ‑ Me Micaela Vaerini Jensen (pour A.P.________), ‑ Me Matthieu Genillod (pour B.P.________).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