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 vom 8. Januar 2013</w:t>
      </w:r>
    </w:p>
    <w:p>
      <w:r>
        <w:t>VD Tribunal cantonal, 2013-01-08, FR</w:t>
      </w:r>
    </w:p>
    <w:p>
      <w:r>
        <w:rPr>
          <w:b/>
        </w:rPr>
        <w:t xml:space="preserve">Quelle: </w:t>
      </w:r>
      <w:r>
        <w:t>https://mcp.opencaselaw.ch/entscheid/vd_findinfo_HC___2013___22</w:t>
      </w:r>
    </w:p>
    <w:p>
      <w:r>
        <w:t>FR: VD_FINDINFO HC / 2013 / 22 du 8 janvier 2013</w:t>
      </w:r>
    </w:p>
    <w:p>
      <w:r>
        <w:t>IT: VD_FINDINFO HC / 2013 / 22 del 8 gennaio 2013</w:t>
      </w:r>
    </w:p>
    <w:p>
      <w:pPr>
        <w:pStyle w:val="Heading2"/>
      </w:pPr>
      <w:r>
        <w:t>Regeste</w:t>
      </w:r>
    </w:p>
    <w:p>
      <w:r>
        <w:t>PROCÉDURE SOMMAIRE, DÉLAI DE GARDE | 314 al. 1 CPC (CH)</w:t>
      </w:r>
    </w:p>
    <w:p>
      <w:pPr>
        <w:pStyle w:val="Heading2"/>
      </w:pPr>
      <w:r>
        <w:t>Erwägungen</w:t>
      </w:r>
    </w:p>
    <w:p>
      <w:r>
        <w:rPr>
          <w:b/>
        </w:rPr>
        <w:t>E. 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l'occurrence, le litige porte sur le bien-fondé d'une ordonnance admettant la requête d'expulsion pour défaut de paiement de loyer.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4A_189/2011 du 4 juillet 2011, in SJ 2011 I 462;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s'élève à 2'700 fr., charges comprises, de sorte que la limite de 10'000 fr. fixée par l'art. 308 al. 2 CPC est atteinte.</w:t>
      </w:r>
    </w:p>
    <w:p>
      <w:r>
        <w:rPr>
          <w:b/>
        </w:rPr>
        <w:t>E. 2.1</w:t>
      </w:r>
    </w:p>
    <w:p>
      <w:r>
        <w:t>Pour déterminer quel est le délai d'appel (dix ou trente jours), il faut qualifier la procédure dans laquelle la décision attaquée a été rendue. Si la procédure sommaire est applicable, le délai est de dix jours (art. 314 al. 1 CPC), sinon de trente jours (art. 311 al. 1 CPC). En l'espèce, le bailleur a requis l'application de la procédure dans les cas clairs (art. 257 CPC) et le premier juge en a fait application. Une telle procédure étant sommaire, le délai d'appel est de dix jours.</w:t>
      </w:r>
    </w:p>
    <w:p>
      <w:r>
        <w:rPr>
          <w:b/>
        </w:rPr>
        <w:t>E. 2.2</w:t>
      </w:r>
    </w:p>
    <w:p>
      <w:r>
        <w:t>La décision querellée a été adressée à l'appelant par courrier du 10 octobre 2012 sans que le pli ne soit réclamé. Le délai de garde était échu le 19 octobre 2012 et le délai d'appel courait jusqu'au lundi 29 octobre 2012. La décision a été renvoyée sous pli A le 29 octobre 2012, sans aucune autre mention, et reçue le 1 er novembre 2012 par l'appelant.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faire courir un nouveau délai de recours au regard de la protection de la confiance du justiciable. En effet, la confiance que le justiciable a pu mettre dans la deuxième indication des voies de recours ne peut lui causer de préjudice, un tel préjudice résultant en fait de l'échéance du délai de recours initial (TF 4A_2009 du 6 août 2009 c. 3.2; ATF 118 V 190 c. 3a; ATF 115 Ia 12 c. 4c). En l'espèce, l'envoi sous pli simple de la décision, reçue le 1 er novembre 2012, n'a pas pu faire courir de nouveau délai de recours, celui-ci étant échu le 29 octobre 2012. L'appel, déposé le 12 novembre 2012, est dès lors hors délai. Il doit être déclaré irrecevable.</w:t>
      </w:r>
    </w:p>
    <w:p>
      <w:r>
        <w:rPr>
          <w:b/>
        </w:rPr>
        <w:t>E. 3</w:t>
      </w:r>
    </w:p>
    <w:p>
      <w:r>
        <w:t>En conclusion, l'appel, tardif, doit être déclaré irrecevable. Les frais judiciaires de deuxième instance, arrêtés à 400 fr. (art. 62 al. 3 et 69 al. 1 TFJC [tarif des frais judiciaires en matière civile du 28 septembre 2010; RSV 270.11.5]), compensés par le dépôt,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