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211 vom 25. März 2013</w:t>
      </w:r>
    </w:p>
    <w:p>
      <w:r>
        <w:t>VD Tribunal cantonal, 2013-03-25, FR</w:t>
      </w:r>
    </w:p>
    <w:p>
      <w:r>
        <w:rPr>
          <w:b/>
        </w:rPr>
        <w:t xml:space="preserve">Quelle: </w:t>
      </w:r>
      <w:r>
        <w:t>https://mcp.opencaselaw.ch/entscheid/vd_findinfo_HC___2013___211</w:t>
      </w:r>
    </w:p>
    <w:p>
      <w:r>
        <w:t>FR: VD_FINDINFO HC / 2013 / 211 du 25 mars 2013</w:t>
      </w:r>
    </w:p>
    <w:p>
      <w:r>
        <w:t>IT: VD_FINDINFO HC / 2013 / 211 del 25 marzo 2013</w:t>
      </w:r>
    </w:p>
    <w:p>
      <w:pPr>
        <w:pStyle w:val="Heading2"/>
      </w:pPr>
      <w:r>
        <w:t>Regeste</w:t>
      </w:r>
    </w:p>
    <w:p>
      <w:r>
        <w:t>CONTRAT DE TRAVAIL, DROIT AU SALAIRE, CONSTATATION DES FAITS | 320 let. b CPC (CH)</w:t>
      </w:r>
    </w:p>
    <w:p>
      <w:pPr>
        <w:pStyle w:val="Heading2"/>
      </w:pPr>
      <w:r>
        <w:t>Erwägungen</w:t>
      </w:r>
    </w:p>
    <w:p>
      <w:r>
        <w:rPr>
          <w:b/>
        </w:rPr>
        <w:t>E. 1</w:t>
      </w:r>
    </w:p>
    <w:p>
      <w:r>
        <w:t>a) Selon l'art. 319 al. 1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étant inférieure à ce montant, c’est bien la voie du recours qui est ouverte. b)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 Formé en temps utile par une partie qui y a intérêt, le recours est recevable à la forme.</w:t>
      </w:r>
    </w:p>
    <w:p>
      <w:r>
        <w:rPr>
          <w:b/>
        </w:rPr>
        <w:t>E. 2</w:t>
      </w:r>
    </w:p>
    <w:p>
      <w:r>
        <w:t>a) Le recours est recevable pour violation du droit et constatation manifestement inexacte des faits (art. 320 CPC). b) S'agissant de la violation du droit, l'autorité de recours dispose d'un plein pouvoir d'examen (Spühler, Basler Kommentar,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c)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d)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la recourante sont irrecevables, dans la mesure où elles ne font pas partie intégrantes du dossier de première instance. Celles qui étaient déjà versées au dossier peuvent par contre être prises en considération.</w:t>
      </w:r>
    </w:p>
    <w:p>
      <w:r>
        <w:rPr>
          <w:b/>
        </w:rPr>
        <w:t>E. 3</w:t>
      </w:r>
    </w:p>
    <w:p>
      <w:r>
        <w:t>a) La recourante soutient, sur la base des pièces produites en deuxième instance, que l’intimé aurait travaillé 154 heures en février 2012 et n’aurait pas travaillé en mars 2012, contestant ainsi le total de 229 heures de travail retenues dans le jugement attaqué. Comme on l’a vu, la recourante ne peut se fonder sur ces pièces qui sont irrecevables. Toutefois, il ressort du dossier que les premiers juges ont retenu pour le mois de février 2012 que l’intimé avait travaillé 185 heures, alors qu’il résulte du décompte de salaire pour cette période établi le 29 février 2012 que l’intimé a travaillé 181 heures. Malgré la différence constatée, ils ont indiqué retenir le total allégué par le demandeur, en raison du défaut de la défenderesse. Cette motivation n’est pas convaincante. En effet, le décompte précité comporte de manière précise les différents postes et relevés des charges sociales et rien n’indique qu’il serait dépourvu de valeur probante. Il a d’ailleurs été produit par le travailleur lui-même pour démontrer le montant du salaire pour février 2012. Il faut donc admettre que c’est manifestement de manière erronée que les premiers juges ont retenu que l’intimé avait travaillé 185 heures en février 2012 et diminuer en conséquence de 108 fr. (4 x 27 fr.) le montant total retenu dans le jugement. S'agissant des 45 heures effectuées durant le mois de mars 2012, elles résultent des allégations du demandeur. Les premiers juges ont estimé que ces faits étaient vraisemblables dès lors que ce nombre d'heures correspondait aux sept jours de travail que le demandeur avait eu l'occasion d'effectuer jusqu'au 9 mars 2012, date de la fin des rapports de travail. Ce raisonnement ne prête pas le flanc à la critique dans la mesure où, contrairement au mois de février 2012, aucune pièce ne fait état du nombre de jours ou d'heures de travail du mois de mars 2012. La recourante ne démontre en outre aucunement que cette constatation serait arbitraire ou manifestement inexacte. Vu ce qui précède, le moyen de la recourante doit être partiellement admis. b) Le recourante conteste en outre le nombre d'indemnités de repas retenu et affirme que l'intimé n'aurait droit qu'à seize indemnités. Toutefois, la décision attaquée retient qu’il y a eu dix-neuf repas en février et sept en mars 2012, faits que la recourante ne peut pas remettre en cause sur ses seules affirmations. Au demeurant, le décompte de salaire établi le 29 février 2012 par la recourante elle-même fait état à lui seul de dix-neuf indemnités de repas pour le mois de février 2012. On comprend dès lors mal comment le nombre d'indemnités pourrait être inférieur. S'agissant des sept indemnités du mois de mars 2012, les premiers juges se sont basés, comme pour le nombre d'heures travaillées (cf. supra c.3a), sur les allégations de l'intimé corroborées par le nombre de jours ouvrables durant lesquels l'intimé a pu travailler jusqu'à son licenciement, ce qui n'est pas critiquable au vu du dossier. Infondé, le moyen de la recourante doit être rejeté.</w:t>
      </w:r>
    </w:p>
    <w:p>
      <w:r>
        <w:rPr>
          <w:b/>
        </w:rPr>
        <w:t>E. 4</w:t>
      </w:r>
    </w:p>
    <w:p>
      <w:r>
        <w:t>La recourante soutient enfin que l’intimé aurait abandonné son poste de travail le 29 février 2012 et tenu des propos menaçants à l’encontre du directeur, mais ces faits ne résultent pas du jugement attaqué et la recourante n’entreprend pas de démontrer en quoi ils n’auraient pas été retenus de façon arbitraire. Au surplus, aucun élément probatoire ne permet d'étayer les griefs de la recourante. Si la recourante entendait se prévaloir de tels faits, il lui appartenait de les alléguer en première instance et de les démontrer, ce qu'elle n'a pas fait puisqu'elle ne s'est ni déterminée par écrit, ni présentée à l'audience du 3 décembre 2012. Mal fondés, les griefs de la recourante doivent être rejetés.</w:t>
      </w:r>
    </w:p>
    <w:p>
      <w:r>
        <w:rPr>
          <w:b/>
        </w:rPr>
        <w:t>E. 5</w:t>
      </w:r>
    </w:p>
    <w:p>
      <w:r>
        <w:t>En définitive, le recours doit être très partiellement admis et le jugement réformé au chiffre Il de son dispositif, en ce sens que la recourante est débitrice de l’intimé de la somme de 6’674 fr. 75, le jugement étant confirmé pour le surplus. S'agissant d'un litige en droit du travail dont la valeur litigieuse n'excède pas 30'000 fr., l'arrêt est rendu sans frais judiciaires de deuxième instance (art. 114 let. c CPC). Il n’y a pas matière à l'allocation de dépens, les parties ayant agi sans l’assistance d’un mandataire professionnel. Par ces motifs, la Chambre des recours civile du Tribunal cantonal, statuant à huis clos, prononce : I. Le recours est partiellement admis. II. Le jugement est modifié comme suit au chiffre II de son dispositif : II. La défenderesse E.________SA, à Vernier, est la débitrice d'Q.________ et lui doit prompt et immédiat paiement de: - 6'674 fr. 75 (six mille six cent septante-quatre francs et septante-cinq centimes) au titre de salaire pour février et le début mars 2012, droit aux vacances compris, sous déduction des cotisations légales et conventionnelles, avec intérêts à 5% dès le 8 mars 2012; - 494 fr. (quatre cent nonante-quatre francs) net à titre d'indemnités pour frais de repas, avec intérêts à 5% dès le 8 mars 2012. Le jugement est confirmé pour le surplus. III. L'arrêt motivé, rendu sans frais ni dépens, est exécutoire. Le président :               Le greffier : Du 26 mars 2013 Le dispositif de l'arrêt qui précède est communiqué par écrit aux intéressés. Le greffier : Du L'arrêt qui précède, dont la rédaction a été approuvée à huis clos, est notifié en expédition complète, par l'envoi de photocopies, à : ‑ E.________SA, ‑ M.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