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209 vom 22. März 2013</w:t>
      </w:r>
    </w:p>
    <w:p>
      <w:r>
        <w:t>VD Tribunal cantonal, 2013-03-22, FR</w:t>
      </w:r>
    </w:p>
    <w:p>
      <w:r>
        <w:rPr>
          <w:b/>
        </w:rPr>
        <w:t xml:space="preserve">Quelle: </w:t>
      </w:r>
      <w:r>
        <w:t>https://mcp.opencaselaw.ch/entscheid/vd_findinfo_HC___2013___209</w:t>
      </w:r>
    </w:p>
    <w:p>
      <w:r>
        <w:t>FR: VD_FINDINFO HC / 2013 / 209 du 22 mars 2013</w:t>
      </w:r>
    </w:p>
    <w:p>
      <w:r>
        <w:t>IT: VD_FINDINFO HC / 2013 / 209 del 22 marzo 2013</w:t>
      </w:r>
    </w:p>
    <w:p>
      <w:pPr>
        <w:pStyle w:val="Heading2"/>
      </w:pPr>
      <w:r>
        <w:t>Regeste</w:t>
      </w:r>
    </w:p>
    <w:p>
      <w:r>
        <w:t>HYPOTHÈQUE LÉGALE DES ARTISANS ET ENTREPRENEURS, INSCRIPTION, REGISTRE FONCIER, MESURE PROVISIONNELLE, RECTIFICATION DE LA DÉCISION | 648 CC, 839 al. 2 CC, 961 CC, 334 CPC (CH)</w:t>
      </w:r>
    </w:p>
    <w:p>
      <w:pPr>
        <w:pStyle w:val="Heading2"/>
      </w:pPr>
      <w:r>
        <w:t>Erwägungen</w:t>
      </w:r>
    </w:p>
    <w:p>
      <w:r>
        <w:rPr>
          <w:b/>
        </w:rPr>
        <w:t>E. 1</w:t>
      </w:r>
    </w:p>
    <w:p>
      <w:r>
        <w:t>Aux termes de l'art. 334 al. 3 CPC (Code de procédure civile du 19 décembre 2010; RS 272), la décision d’interprétation ou de rectification peut faire l’objet d’un recours. La voie du recours de l’art. 319 let. b ch. 1 CPC est donc ouverte. Interjeté en temps utile (art. 321 al. 1 et 2 et 271 let. a CPC) par des parties qui y ont intérêt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alii,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Les recourants font valoir que l’ordonnance rendue le 4 décembre 2012 ne pouvait pas être rectifiée par le prononcé attaqué, car l’inscription provisoire opérée à cette date était nulle en vertu des art. 648 al. 3, 839 al. 2, 961 al. 2 et 972 CC (Code civil suisse du 10 décembre 1907, RS 210). En effet, le délai d’inscription d’une hypothèque légale étant un délai péremptoire qui ne peut pas être prolongé, seule l’inscription ordonnée le 4 décembre 2012 pouvait constituer l’inscription provisoire intervenue valablement avant l’échéance du délai. Or, l’inscription sur la parcelle de base et non sur les lots de copropriété étant nulle et le délai étant venu à échéance dans l’intervalle entre l’ordonnance et le prononcé rectificatif, le premier juge ne pouvait donc faire rétroagir les effets de l’annotation au</w:t>
      </w:r>
    </w:p>
    <w:p>
      <w:r>
        <w:rPr>
          <w:b/>
        </w:rPr>
        <w:t>E. 4</w:t>
      </w:r>
    </w:p>
    <w:p>
      <w:r>
        <w:t>En définitive, le recours doit être rejeté et le prononcé confirmé. Les frais judicaires de deuxième instance, arrêtés à 1'200 fr. (art. 69 al. 1 TFJC [Tarif des frais judiciaires civils du 28 septembre 2010; RSV 270.11.5]), doivent être mis à la charge des recourants qui succombent, solidairement entre eux (art. 106 al. 1 et 3 CPC). Il n’y a pas matière à l’allocation de dépens de deuxième instance. Par ces motifs, la Chambre des recours civile du Tribunal cantonal, statuant à huis clos, en application de l'art. 322 al. 1 CPC, prononce : I. Le recours est rejeté. II.              Le prononcé est confirmé. III.              Les frais judiciaires de deuxième instance, par 1'200 fr. (mille deux cents francs), sont mis à la charge des recourants T.________, X.________, M.________, P.________, A.W.________, B.W________ V.________, A.F.________, B.F.________ A.L.________, B.L.________ N.________ J.________, S.________ et C.________, solidairement entre eux. IV.              L'arrêt motivé est exécutoire. Le président :               Le greffier : Du 22 mars 2013 Le dispositif de l'arrêt qui précède est communiqué par écrit aux intéressés. Le greffier : Du L'arrêt qui précède, dont la rédaction a été approuvée à huis clos, est notifié en expédition complète, par l'envoi de photocopies, à : ‑ Me Eric Ramel (pourT.________, X.________, M.________, P.________, A.W.________, B.W________V.________, A.F.________, B.F.________ A.L.________, J.________, S.________ et C.________), ‑ Me Denis Bettems (pour H.________SA). La Chambre des recours civile considère que la valeur litigieuse est de 98'000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