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202 vom 25. März 2013</w:t>
      </w:r>
    </w:p>
    <w:p>
      <w:r>
        <w:t>VD Tribunal cantonal, 2013-03-25, FR</w:t>
      </w:r>
    </w:p>
    <w:p>
      <w:r>
        <w:rPr>
          <w:b/>
        </w:rPr>
        <w:t xml:space="preserve">Quelle: </w:t>
      </w:r>
      <w:r>
        <w:t>https://mcp.opencaselaw.ch/entscheid/vd_findinfo_HC___2013___202</w:t>
      </w:r>
    </w:p>
    <w:p>
      <w:r>
        <w:t>FR: VD_FINDINFO HC / 2013 / 202 du 25 mars 2013</w:t>
      </w:r>
    </w:p>
    <w:p>
      <w:r>
        <w:t>IT: VD_FINDINFO HC / 2013 / 202 del 25 marzo 2013</w:t>
      </w:r>
    </w:p>
    <w:p>
      <w:pPr>
        <w:pStyle w:val="Heading2"/>
      </w:pPr>
      <w:r>
        <w:t>Regeste</w:t>
      </w:r>
    </w:p>
    <w:p>
      <w:r>
        <w:t>EXPULSION DE LOCATAIRE, PROCÉDURE SOMMAIRE | 257d al. 1 CO, 257d al. 2 CO, 257d CO, 248 CPC (CH), 257 CPC (CH), 319 CPC (CH), 319 let. a CPC (CH), 322 al. 1 CPC (CH), 322 CPC (CH)</w:t>
      </w:r>
    </w:p>
    <w:p>
      <w:pPr>
        <w:pStyle w:val="Heading2"/>
      </w:pPr>
      <w:r>
        <w:t>Erwägungen</w:t>
      </w:r>
    </w:p>
    <w:p>
      <w:r>
        <w:rPr>
          <w:b/>
        </w:rPr>
        <w:t>E. 1</w:t>
      </w:r>
    </w:p>
    <w:p>
      <w:r>
        <w:t>L'art. 308 al. 1 et 2 CPC ouvre la voie de l'appel contre les décisions finales et incidentes de première instance pour autant que, s'agissant d'affaires patrimoniales, la valeur litigieuse soit de 10'000 fr. au moins. Lorsque le recours porte sur le bien-fondé de la mesure d'expulsion, la valeur litigieuse est calculée selon le droit fédéral et est égale au moins à la période de trois ans pendant laquelle l’art. 271a al. 1 let. e CO consacre I’annulabilité d’une résiliation (Lachat, Le bail à loyer, 2 ème éd., Lausanne 2008, pp. 749 ss; JT 2011 III 43; TF 4A_634/2009 du 3 mars 2010 c. 1.1; SJ 2001 I 17 c. 1a; ATF 119 II 147 c. 1). En l'espèce toutefois, les recourants ne contestent pas le bien-fondé de la mesure d'expulsion, mais souhaitent bénéficier d'un délai supplémentaire d'au minimum trois mois pour quitter leur appartement. Dans ce cas, la valeur litigieuse se calcule en fonction de la prolongation sollicitée, qui est de trois mois. Le loyer mensuel contractuel étant de 1'450 fr., la valeur litigieuse n'atteint pas 10'000 fr., si bien que c'est la voie du recours qui est ouverte (art. 308 al. 2 et 319 al. 1 let. a CPC; cf. Colombini, Quelques questions liées à la procédure d'expulsion, JT 2011 III 83 ch. 1; CREC 6 avril 2011/24). Formé en temps utile (art. 321 al. 2 CPC) par des parties qui y ont intérêt (art. 59 al. 2 let. a CPC), le recours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Comme exposé, les recourants ne contestent pas le principe de leur expulsion, mais font valoir que, vu les circonstances, notamment le fait qu'ils règlent ponctuellement les loyers de retard, un délai supplémentaire d'au moins trois mois doit leur être accordé pour quitter les locaux.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Le locataire qui n'a pas réglé l’arriéré réclamé dans le délai comminatoire de l’art. 257d CO est en demeure et doit subir les conséquences juridiques de l’alinéa 2 de cette disposition, à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du 27 février 1997 précité c. 2b, in CdB 3/97 p. 68; TF 4C_74/2006 du 12 mai 2006 c. 3.2.1). Ils peuvent cependant être pris en compte au stade de l’exécution forcée, en application du principe général de la proportionnalité. Toutefois, dans tous les cas, l’ajournement de l'expulsion ne saurait être que relativement bref et ne doit pas équivaloir en fait à une nouvelle prolongation de bail (ATF 117 la 336 c. 2b). La jurisprudence cantonale vaudoise considérait sous l’empire de l’ancien droit cantonal abrogé par l’entrée en vigueur du CPC au 1 er janvier 2011 que, sauf cas particulier, un délai de libération des locaux de quinze à vingt jours était admissible (Guignard, in Procédures spéciales vaudoises, Lausanne 2008, n. 2 ad art. 17 aLPEBL, p. 196 et les réf.). c) En l'espèce, le premier juge a accordé un délai d'un mois aux recourants pour quitter les locaux litigieux, ce qui est parfaitement conforme à la jurisprudence rappelée, d'autant que, de fait, cette durée a été prolongée par la procédure de recours. Mal fondé, le moyen doit ainsi être rejeté.</w:t>
      </w:r>
    </w:p>
    <w:p>
      <w:r>
        <w:rPr>
          <w:b/>
        </w:rPr>
        <w:t>E. 4</w:t>
      </w:r>
    </w:p>
    <w:p>
      <w:r>
        <w:t>En définitive, le recours doit être rejeté en application de l'art. 322 al. 1 CPC et l'ordonnance querellée confirmée. Les frais judiciaires de deuxième instance sont arrêtés à 200 fr. (art. 69 al. 1 TFJC [tarif des frais judiciaires civils du 28 septembre 2010; RSV 270.11.5]) et mis à la charge des recourants, solidairement entre eux (art. 106 al. 1 CPC). N'ayant pas été invitée à se déterminer, l'intimée n’a pas droit à des dépens.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des recourants K.________ et L.________, solidairement entre eux. IV. L'arrêt motivé est exécutoire. Le président :               La greffière : Du 26 mars 2013 Le dispositif de l'arrêt qui précède est communiqué par écrit aux intéressés. La greffière : Du L'arrêt qui précède, dont la rédaction a été approuvée à huis clos, est notifié à : ‑ M. K.________, ‑ M. L.________ - G.________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