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191 vom 7. März 2013</w:t>
      </w:r>
    </w:p>
    <w:p>
      <w:r>
        <w:t>VD Tribunal cantonal, 2013-03-07, FR</w:t>
      </w:r>
    </w:p>
    <w:p>
      <w:r>
        <w:rPr>
          <w:b/>
        </w:rPr>
        <w:t xml:space="preserve">Quelle: </w:t>
      </w:r>
      <w:r>
        <w:t>https://mcp.opencaselaw.ch/entscheid/vd_findinfo_HC___2013___191</w:t>
      </w:r>
    </w:p>
    <w:p>
      <w:r>
        <w:t>FR: VD_FINDINFO HC / 2013 / 191 du 7 mars 2013</w:t>
      </w:r>
    </w:p>
    <w:p>
      <w:r>
        <w:t>IT: VD_FINDINFO HC / 2013 / 191 del 7 marzo 2013</w:t>
      </w:r>
    </w:p>
    <w:p>
      <w:pPr>
        <w:pStyle w:val="Heading2"/>
      </w:pPr>
      <w:r>
        <w:t>Regeste</w:t>
      </w:r>
    </w:p>
    <w:p>
      <w:r>
        <w:t>DIVORCE, MODIFICATION{EN GÉNÉRAL}, MINIMUM VITAL | 125 CC, 129 al. 1 CC</w:t>
      </w:r>
    </w:p>
    <w:p>
      <w:pPr>
        <w:pStyle w:val="Heading2"/>
      </w:pPr>
      <w:r>
        <w:t>Erwägungen</w:t>
      </w:r>
    </w:p>
    <w:p>
      <w:r>
        <w:rPr>
          <w:b/>
        </w:rPr>
        <w:t>E. 1</w:t>
      </w:r>
    </w:p>
    <w:p>
      <w:r>
        <w:t>L'appel est recevable contre les décisions finales de première instance, dans les causes patrimoniales pour autant que la valeur litigieuse, au dernier état des conclusions devant l'autorité inférieure, soit de 10'000 fr. au moins (art. 308 al. 1 let. a et al. 2 CPC). Ecrit et motivé, l'appel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 En l'espèce, seule est litigieuse la question de la suppression de la contribution d'entretien due par l'appelant à l'intimée. Il s'agit dès lors d'une cause patrimoniale. Capitalisée conformément à l'art. 92 al. 2 CPC, la valeur litigieuse est supérieure à 10'000 francs, de sorte que la voie de l'appel est ouverte. Formé en temps utile (art. 311 al. 1 CPC) par une partie qui y a intérêt (art. 59 al. 2 let. a CPC) et comportant des conclusions qui ne sont pas nouvelles (art. 317 al. 2 CPC),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 134). Elle peut revoir librement l'appréciation des faits sur la base des preuves administrées en première instance (Tappy, op. cit., JT 2010 III 135).</w:t>
      </w:r>
    </w:p>
    <w:p>
      <w:r>
        <w:rPr>
          <w:b/>
        </w:rPr>
        <w:t>E. 3</w:t>
      </w:r>
    </w:p>
    <w:p>
      <w:r>
        <w:t>novembre 2009, à savoir, hormis le montant de base, des frais de droit de visite, son loyer, sa prime d'assurance-maladie et ses frais de transport, auxquelles il a ajouté sa charge fiscale par 700 francs. Il n'a ainsi aucunement allégué des frais de repas. De tels frais n'ont du reste jamais été comptabilisés dans le cadre du minimum vital de l'appelant, même en 2009 lorsque ce dernier travaillait à temps complet. Ainsi, ce grief doit être rejeté.</w:t>
      </w:r>
    </w:p>
    <w:p>
      <w:r>
        <w:rPr>
          <w:b/>
        </w:rPr>
        <w:t>E. 3.1</w:t>
      </w:r>
    </w:p>
    <w:p>
      <w:r>
        <w:t>a) L'appelant reproche tout d'abord au premier juge de ne pas avoir tenu compte de sa charge fiscale au motif qu'il avait bénéficié d'une remise d'impôt en 2009 et pourrait vraisemblablement en obtenir une pour les années suivantes. Il fait valoir qu'il ne saurait être contraint par la justice de demander une remise d'impôt afin de verser une contribution d'entretien. b) Selon la jurisprudence, lorsque les moyens des parties sont limités par rapport aux besoins vitaux, il n'y a pas lieu de prendre en considération les impôts courants, qui ne font pas partie des besoins vitaux (TF 5A_302/2011 du 30 septembre 2011 c. 6.3.1; CACI 7 janvier 2013/7 c. 5.4). c) En l'occurrence, la situation financière des parties n'est pas favorable. Elles n'ont en effet aucun solde à se répartir et l'assistance judiciaire a été accordée à l'appelant en première instance. Dans ces circonstances, il n'y a pas lieu de tenir compte de la charge d'impôt de l'appelant et ce indépendamment de la question de la remise d'impôt 2009 et des années suivantes. L'appel est mal fondé sur ce point.</w:t>
      </w:r>
    </w:p>
    <w:p>
      <w:r>
        <w:rPr>
          <w:b/>
        </w:rPr>
        <w:t>E. 3.2</w:t>
      </w:r>
    </w:p>
    <w:p>
      <w:r>
        <w:t>a) L'appelant soutient ensuite que le premier juge a omis de tenir compte de ses frais de repas s'élevant à 10 fr. par jour, mais au minimum à 200 fr. par mois. b) En l'espèce, l'appelant, dans sa demande en modification de jugement de divorce du 23 juin 2011, a allégué ses charges en se référant à celles retenues dans l'arrêt du</w:t>
      </w:r>
    </w:p>
    <w:p>
      <w:r>
        <w:rPr>
          <w:b/>
        </w:rPr>
        <w:t>E. 3.3</w:t>
      </w:r>
    </w:p>
    <w:p>
      <w:r>
        <w:t>L'appelant évoque également, sans sembler véritablement s'en prévaloir, le versement d'un montant mensuel de 80 fr. pour le remboursement d'un prêt, ainsi que le versement d'un montant de 10 fr. pour le remboursement de l'assistance judiciaire. Il se réfère à un décompte de dépenses établi par ses soins figurant au dossier. Néanmoins, rien n'indique qu'il s'acquitte régulièrement de ces frais, étant rappelé que seules les charges effectives, dont le débirentier s'acquitte réellement, doivent être prises en compte (ATF 121 III 20 c. 3a; ATF 126 III 89 c. 3b; TF 5A_236/2011 du 18 octobre 2011 c. 4.1.3). Ce grief doit dès lors être également rejeté.</w:t>
      </w:r>
    </w:p>
    <w:p>
      <w:r>
        <w:rPr>
          <w:b/>
        </w:rPr>
        <w:t>E. 3.4</w:t>
      </w:r>
    </w:p>
    <w:p>
      <w:r>
        <w:t>Enfin l'appelant soutient que la majoration de 20% aurait dû porter sur son minimum vital élargi et non pas seulement sur le montant de base du minimum vital. Dans sa jurisprudence récente, le Tribunal fédéral a précisé que la majoration de 20 % ne s'applique qu'à la seule base mensuelle et non aux autres postes du minimum vital (TF 5A_785/2010 du 30 juin 2011 c. 4.1; TF 5A_476/2010 du 7 septembre 2010 c. 2.2.3; TF 5C.237/2006 du 10 janvier 2007; TF 5C.107/2005 du 13 avril 2006 c. 4.2.1). C'est ainsi à juste titre que le premier juge n'a majoré que le montant de base. Le moyen de l'appelant se révèle ainsi infondé.</w:t>
      </w:r>
    </w:p>
    <w:p>
      <w:r>
        <w:rPr>
          <w:b/>
        </w:rPr>
        <w:t>E. 4</w:t>
      </w:r>
    </w:p>
    <w:p>
      <w:r>
        <w:t>Au vu de ce qui précède, l'appel doit être rejeté, en application de l'art. 312 al. 1 CPC, et le jugement confirmé. L'appel étant dépourvu de chances de succès, la requête d'assistance judiciaire formée par l'appelant doit être rejetée (art. 117 let. b CPC). Les frais judiciaires de deuxième instance, arrêtés 600 fr. (art. 63 al. 1 TFJC [Tarif des frais judiciaires civils du 28 septembre 2010; RSV 270.11.5]), sont mis à la charge de l'appelant qui succombe. L'intimée n'ayant pas été invitée à se déterminer,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