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159 vom 1. März 2013</w:t>
      </w:r>
    </w:p>
    <w:p>
      <w:r>
        <w:t>VD Tribunal cantonal, 2013-03-01, FR</w:t>
      </w:r>
    </w:p>
    <w:p>
      <w:r>
        <w:rPr>
          <w:b/>
        </w:rPr>
        <w:t xml:space="preserve">Quelle: </w:t>
      </w:r>
      <w:r>
        <w:t>https://mcp.opencaselaw.ch/entscheid/vd_findinfo_HC___2013___159</w:t>
      </w:r>
    </w:p>
    <w:p>
      <w:r>
        <w:t>FR: VD_FINDINFO HC / 2013 / 159 du 1 mars 2013</w:t>
      </w:r>
    </w:p>
    <w:p>
      <w:r>
        <w:t>IT: VD_FINDINFO HC / 2013 / 159 del 1 marzo 2013</w:t>
      </w:r>
    </w:p>
    <w:p>
      <w:pPr>
        <w:pStyle w:val="Heading2"/>
      </w:pPr>
      <w:r>
        <w:t>Regeste</w:t>
      </w:r>
    </w:p>
    <w:p>
      <w:r>
        <w:t>MESURE PROVISIONNELLE, AUTONOMIE, DIVORCE, QUI PEUT ETRE RAISONNABLEMENT EXIGÉ, REVENU HYPOTHÉTIQUE, MÉNAGE COMMUN, CONCUBINAGE | 163 CC, 176 CC, 317 CPC (CH)</w:t>
      </w:r>
    </w:p>
    <w:p>
      <w:pPr>
        <w:pStyle w:val="Heading2"/>
      </w:pPr>
      <w:r>
        <w:t>Erwägungen</w:t>
      </w:r>
    </w:p>
    <w:p>
      <w:r>
        <w:rPr>
          <w:b/>
        </w:rPr>
        <w:t>E. 1</w:t>
      </w:r>
    </w:p>
    <w:p>
      <w:r>
        <w:t>L'appel est recevable contre les ordonnances de mesures provisionnelles (art. 308 al. 1 let. b CPC [Code de procédure civile suisse du 19 décembre 2008; RS 272]), dans les causes exclusivement patrimoniales pour autant que la valeur litigieuse au dernier état des conclusions devant l'autorité inférieure soit de 10'000 fr. au moins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 en temps utile par une partie qui y a intérêt (art. 59 al. 2 let. a CPC) et portant sur des conclusions ayant une valeur litigieuse, capitalisée selon l’art. 92 CPC, supérieure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136-137).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le juge de première instance a violé la maxime inquisitoire illimitée (ibid.). En l'espèce, la maxime d'office n'est pas applicable puisque le litige porte uniquement sur la pension due au conjoint, les enfants du couple étant majeurs. L'appelant a joint un bordereau de huit pièces à son mémoire d'appel.  Outre la décision attaquée, l'enveloppe ayant contenu cette dernière et une copie de la procuration (pièces 1-3), il a produit une décision de la Justice de paix du district de Lausanne du 21 janvier 2013 attribuant l'autorité parentale conjointe sur l'enfant [...] (pièce 4). Cette pièce est recevable puisqu'elle est postérieure à l'audience du 12 décembre 2012. En revanche, le "Barème Accueil préscolaire" (pièce 5), non daté, et les documents relatifs aux primes d'assurance-maladie de l'appelant, de sa concubine et de leur fille (pièces 6 – 8), datés du mois d'octobre 2012, sont irrecevables dès lors que l'appelant ne démontre pas pourquoi il aurait été empêché de les produire auparavant.</w:t>
      </w:r>
    </w:p>
    <w:p>
      <w:r>
        <w:rPr>
          <w:b/>
        </w:rPr>
        <w:t>E. 4</w:t>
      </w:r>
    </w:p>
    <w:p>
      <w:r>
        <w:t>Tout d'abord, l'appelant reproche au premier juge d'avoir indirectement considéré que le principe de la solidarité entre époux prévalait sur celui du "clean break" et de l'avoir en conséquence contraint de verser une contribution d'entretien d'un montant important en faveur de son épouse. Il fait valoir que la séparation remonte à plus de trois ans et qu'on ne peut plus compter avec une reprise de la vie commune. Il estime en outre que le revenu hypothétique de 1'500 fr. retenu en première instance est trop bas et que l'on doit exiger de son épouse qu'elle assume l'entier de son entretien. a/aa) Selon l'art. 176 al. 1 ch. 1 CC – applicable par analogie lorsque le juge ordonne des mesures provisionnelles dans un procès en divorce (art. 276 al. 1 CC) –, le juge fixe la contribution pécuniaire à verser par l'une des parties à l'autre. Il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 3.1.; TF 5A_301/2011 du 1er décembre 2011 c. 5.1; TF 5A_475/2011 du 12 décembre 2011 c. 4.1). La prise en considération de ces critères ne signifie cependant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(ATF 137 III 385 c. 3.1.; TF 5A_502/2010 du 25 juillet 2011 c 3.2.1., in FamPra.ch 2011 no 67 p. 993; TF 5A_591/2011 du 7 décembre 2011 c. 4.1.1. et réf.; TF 5A 522/2011 du 18 janvier 2012 c. 4.1.). Le principe du clean break ne joue par conséquent aucun rôle dans le cadre des mesures provisionnelles (TF 5A_228/2012 du 11 juin 2012 c. 4.3). bb) Vu la jurisprudence qui précède, c'est à tort que l'appelant se prévaut du principe du clean-break. b/aa) Après le dépôt d'une demande de divorce, une reprise de la vie commune n'est guère plus envisageable et l'objectif pour le conjoint de reprendre ou d'étendre son activité lucrative et d'assurer ainsi son indépendance financière apparaît déjà important dans le cadre des mesures provisoires (ATF 130 III 537 c. 3.2). Dans ces conditions,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(ATF 128 III 4 c. 4c/cc; ATF 114 II 13 c. 5, ATF 114 II 301 c. 3a). Il existe une présomption de fait selon laquelle il est déraisonnable d'exiger la reprise d'une activité lucrative au-delà de l'âge de 45 ans, mais cette limite d'âge ne doit pas être considérée comme une règle stricte (ATF 137 III 102 c. 4.2.2.2 et réf.). D'ailleurs, selon la jurisprudence récente, cette limite d'âge tend à être augmentée à 50 ans (ATF 137 III 102 c. 4.2.2.2 et réf.). bb) En l'espèce, l'intimée, qui est âgée de plus de 50 ans, n'est au bénéfice d'aucune formation professionnelle, maîtrise mal le français et n'a pas travaillé durant les vingt années de vie commune, ce mode de vie étant le choix commun des époux. Dans ces conditions, on ne saurait exiger de sa part la reprise d'une activité lucrative à plein temps. Ainsi, le revenu hypothétique de 1'500 fr. retenu par le premier juge – et qui n'a pas été remis en cause par l'intéressée - apparaît adéquat et est au surplus conforme à la jurisprudence du Tribunal fédéral (cf. TF 5A_388/2010 du 29 septembre 2010 c. 2, FamPra.ch. 2011 no 8, p. 203 : cas d'une personne de 48 ans dans un contexte migratoire, sans formation professionnelle et sans activité lucrative depuis 18 ans). Mal fondé, le moyen de l'appelant est rejeté.</w:t>
      </w:r>
    </w:p>
    <w:p>
      <w:r>
        <w:rPr>
          <w:b/>
        </w:rPr>
        <w:t>E. 5</w:t>
      </w:r>
    </w:p>
    <w:p>
      <w:r>
        <w:t>L'appelant conteste ensuite son minimum vital tel qu'arrêté par le premier juge. a/aa) Il soutient en premier lieu que les frais d'entretien de sa concubine auraient dû être retenus dans ses charges incompressibles dès lors que celle-ci n'est pas autorisée à travailler et s'occupe de leur fille [...]. De ce fait, un montant de base de 1'700 fr. correspondant à celui d'un couple, ainsi que la prime d'assurance-maladie de sa compagne, auraient dû être comptabilisés dans ses charges. Subsidiairement, il fait valoir que si l'on ne tient pas compte des frais d'entretien de sa concubine, l'on doit considérer sa situation comme celle d'un débiteur monoparental et retenir un montant de base de 1'350 fr., ainsi que des frais de garde pour [...] qu'il évalue à 601 francs. bb) Pour toutes les catégories d'entretien du droit de la famille, il faut toujours laisser au débirentier au moins le minimum vital selon le droit des poursuites (ATF 126 III 353 c. 1a/aa, JT 2002 I 162; ATF 135 III 66 c. 2, JT 2010 I 167). Cette jurisprudence doit être explicitée en ce sens que le débirentier ne peut prétendre à la protection du minimum vital que pour sa propre personne. Il n'est donc protégé qu'à concurrence du montant du minimum vital du droit des poursuites qui le concerne seul (ATF 137 III 59 c. 4.2.1., JT 2011 II 359) Pour calculer le minimum vital du droit des poursuites, ce qui est déterminant, selon les cas,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(ATF 137 III 59 c. 4.2.2., JT 2011 II 359). Au montant de base, il faut ajouter les suppléments usuels en droit de la poursuite pour dettes, pour autant qu’ils ne soient relevants que pour le débiteur de l’entretien. En font partie notamment les coûts du logement, les dépenses professionnelles incontournables, ainsi que les coûts de son assurance maladie et – en cas d’activité professionnelle indépendante – de sa prévoyance vieillesse (ATF 137 III 59 c. 4.2.2., JT 2011 II 359). Lorsque le débirentier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Selon une jurisprudence plus récente, c’est la capacité économique du concubin ou du nouvel époux – réelle ou hypothétique – qui détermine la participation de celui-ci aux frais de logement (ATF 137 III 59 c. 4.2.2., JT 2011 II 359; CACI 17 avril 2012/172). Les autres prestations que le débiteur d'entretien effectue en faveur d'une nouvelle compagne, telles que la prise en charge des frais d'assurance maladie, ne peuvent pas être incluses dans le calcul de ses charges dès lors qu'il n'existe pas d'obligation légale entre concubins (TF 5C.232/2005 du 10 février 2005 c. 3.3. et réf. citées). cc ) Comme l'a retenu le premier juge, les frais d'entretien propres à sa compagne, en particulier ses frais d'assurance-maladie, ne doivent pas être retenus dans les charges de l'appelant. Si l'on peut s'écarter de la répartition 1/2 - 1/2 en ce qui concerne les frais communs (loyer, entretien de l'enfant), il découle de l'arrêt 137 III 59 (c. 4.2.2.) que la répartition du montant de base par moitié est absolue et résulte du seul fait que les charges de base du débiteur sont inférieures en raison de la vie commune. Ainsi, le montant de base de l'appelant, qui vit avec sa compagne, correspond à la moitié de montant de base d'un couple, à savoir 850 fr. (1'700 fr. /2). Dans ces conditions, il ne saurait se plaindre du montant de 1'200 fr., retenu en première instance, qui lui est favorable. Quant aux frais de garde allégués par l'appelant, il n'y pas lieu d'en tenir compte dès lors qu'ils ne les établit pas et qu'ils n'existent pas, puisque c'est précisément sa compagne, mère de l'enfant, qui s'occupe de [...]. On observera encore que, sauf accord des parties, les assurances non obligatoires ne sont pas prises en compte (ATF 134 III 323 c. 3). b/aa) Dans un deuxième temps, l'appelant reproche au premier juge de ne pas avoir retenu le montant de 1'500 fr. qu'il avait fait valoir à titre de loyer. Il soutient que son déménagement est imminent et indispensable, dès lors qu'il vit actuellement dans un logement d'une pièce avec sa compagne et sa fille [...]. bb) Les frais de logement dont il faut tenir compte sont en principe les frais de logement effectifs (Bastons Buletti, L'entretien après divorce: méthodes de calcul, montant, durée et limites, SJ 2007 II 85), même s'ils sont bas et que la personne recherche un appartement dont le loyer est susceptible d'être plus élevé, une modification de la contribution, au cas où un logement convenable devait être trouvé, étant réservée (CACI 21 juin 2012/289/ c. 3.3; CACI du 11 octobre 2011/294 c. 3c/aa). cc) C'est ainsi à juste titre que le premier juge a tenu compte du loyer actuel de l'appelant, d'autant que ce dernier vit avec sa concubine et leur fille dans l'appartement actuel depuis le mois de juillet 2011 et qu'il n'a aucunement démontré l'imminence d'un déménagement. c) Vu ce qui précède, les griefs de l'appelant relatifs à l'établissement de son minimum vital doivent être rejetés.</w:t>
      </w:r>
    </w:p>
    <w:p>
      <w:r>
        <w:rPr>
          <w:b/>
        </w:rPr>
        <w:t>E. 6</w:t>
      </w:r>
    </w:p>
    <w:p>
      <w:r>
        <w:t>a) L'appelant conteste également le minimum vital de l'intimée en se référant au prononcé de mesures protectrices rendu le 18 août 2010 qui retient que son fils aîné C.U.________ vit au domicile de sa mère et participe aux frais du ménage en versant mensuellement 600 francs. Il soutient que l'intimée n'a pas démontré le contraire et qu'il faut "partir du principe que son fils aîné – voire ses autres enfants au bénéfice de revenus certes peu élevés – peuvent participer au loyer et à d'autres charges". b) Si le débiteur de l'entretien occupe son logement avec son conjoint ou avec d'autres personnes adultes (ici deux enfants majeurs),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 compte dans les charges du débiteur de l'entier des frais de logement (CACI 14 décembre 2012/579 c. 5b bb; cf. également supra c. 5a). c) En l’espèce, le premier juge a considéré que les revenus des enfants D.U.________ et E.U.________, qui sont en réalité des bourses et des allocations de formation, étaient minimes, ce que l'appelant admet par ailleurs expressément dans son mémoire d'appel (p. 6). On ne saurait donc retenir qu'ils sont en mesure de s'acquitter d'une partie du loyer de l'appartement. Quant au fils aîné C.U.________, il a été retenu qu'il ne vivait plus avec sa mère. Or, l'appelant se borne à alléguer le contraire sans établir ce fait, ni même le rendre vraisemblable. En particulier, on ne saurait retenir que C.U.________ vit toujours chez l'intimée en se fondant sur l'état de fait retenu dans le prononcé du 18 août 2010, qui date de plus de deux ans. Il est pas ailleurs plus que probable que C.U.________, qui était déjà indépendant à cette période, ait quitté le domicile familial dans l'intervalle. Infondé, le moyen de l'appelant doit être rejeté.</w:t>
      </w:r>
    </w:p>
    <w:p>
      <w:r>
        <w:rPr>
          <w:b/>
        </w:rPr>
        <w:t>E. 7</w:t>
      </w:r>
    </w:p>
    <w:p>
      <w:r>
        <w:t>a) L'appelant soutient enfin que la pension aurait dû être modifiée avec effet rétroactif au 1er novembre 2011, soit une année avant le dépôt de sa requête. Il fait valoir qu'il s'est acquitté de tous les frais d'entretien de [...] depuis sa naissance le 4 juillet 2011. Il relève en outre qu'il n'est pas en mesure de rembourser les pensions, qu'il n'a plus payées en raison du jugement de divorce macédonien, et que le paiement du rétroactif le plongerait dans une situation financière catastrophique. En revanche, l'admission de la rétroactivité ne mettrait pas l'intimée dans une situation difficile puisqu'elle ne serait pas tenue de rembourser les avances versées en trop par le BRAPA, qu'elle a reçues de bonne foi. b) La modification de mesures provisionnelles prend en règle générale effet au moment de la requête.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A l'inverse, le juge peut aussi, dans des circonstances très exceptionnelles, retenir une date antérieure au dépôt de la requête (TF 5A_894/2010 du 15 avril 2011 c. 6.2., in RSPC 2011 p. 315). c) En l'espèce, l'appelant ne se prévaut d'aucune circonstance exceptionnelle permettant de justifier une modification de la contribution à une date antérieure au dépôt de la requête. S'il voulait obtenir une diminution de la pension effective dès la naissance de [...], il lui appartenait de déposer une requête à ce moment-là. Peu importe que le divorce des parties ait été prononcé en juillet 2011 en Macédoine; l'appelant devait envisager que ce jugement ne soit pas reconnu en Suisse et prendre toutes les précautions utiles, ce qu'il n'a pas fait. Dans ces circonstances, il est sans pertinence que l'intimée ne soit éventuellement pas tenue de rembourser les contributions d'entretien au BRAPA. Mal fondé, le moyen de l'appelant doit être rejeté.</w:t>
      </w:r>
    </w:p>
    <w:p>
      <w:r>
        <w:rPr>
          <w:b/>
        </w:rPr>
        <w:t>E. 8</w:t>
      </w:r>
    </w:p>
    <w:p>
      <w:r>
        <w:t>En conclusion, l'appel doit être rejeté dans la procédure de l’art. 312 al. 1 CPC et l'ordonnance confirmée. Vu l’octroi à l’appelant de l’assistance judiciaire (cf. infra c. 9), les frais judiciaires de deuxième instance, arrêtés à 600 fr. (art. art. 65 al. 1  TFJC [Tarif des frais judiciaires civils du 28 septembre 2010, RSV 270.11.5]), sont laissés à la charge de l’Etat. Il n’y a pas matière à l’allocation de dépens de deuxième instance, l’intimée n’ayant pas été invitée à se déterminer sur l’appel.</w:t>
      </w:r>
    </w:p>
    <w:p>
      <w:r>
        <w:rPr>
          <w:b/>
        </w:rPr>
        <w:t>E. 9</w:t>
      </w:r>
    </w:p>
    <w:p>
      <w:r>
        <w:t>Compte tenu de la situation financière de l’appelant et du fait que l’appel n’était pas dépourvu d’emblée de toute chance de succès, il y a lieu d’admettre sa requête d’assistance judiciaire, Me Sylvie Cossy, étant désignée conseil d’office. Le conseil d’office de l’appelant a déposé, le 27 février 2013, une liste des opérations dont il ressort qu’il a consacré cinq heures et dix minutes à la procédure d’appel, ce qui apparaît justifié vu l’ampleur du litige et le travail accompli. Au tarif horaire de 180 fr. (art. 2 RAJ [Règlement sur l’assistance judiciaire en matière civile du 7 décembre 2010, RSV 211.02.3]), l’indemnité d’honoraires doit être fixée à 1004 fr. 40, TVA comprise. S’agissant des débours, le conseil de l'appelant fait valoir un montant de 74 fr. 55, TVA comprise, qu'il convient d'admettre (art. 3 RAJ). L’indemnité d’office du conseil de l’appelant peut ainsi être fixée à 1'079  francs. Dans la mesure de l’art. 123 CPC, le bénéficiaire de l’assistance judiciaire est tenu au remboursement des frais judiciaires et de l’indemnité à son conseil d’office mis à la charge de l’Etat. Par ces motifs, la juge déléguée de la Cour d’appel civile du Tribunal cantonal, statuant à huis clos, en application de l'art. 312 al. 1 CPC, prononce : I. L'appel est rejeté. II. L'ordonnance est confirmée. III. La requête d'assistance judiciaire de l'appelant [...] est admise, Me Sylvie Cossy étant désignée comme conseil d'office pour la procédure d'appel. IV. Les frais judiciaires de deuxième instance, arrêtés à 600 fr. (six cents francs), sont laissés à la charge de l'Etat. V. L'indemnité d'office de Me Sylvie Cossy, conseil de l'appelant, est arrêtée à 1'079 fr. (mille septante-neuf francs), TVA et débours compris. VI. Le bénéficiaire de l'assistance judicaire est tenu, dans la mesure de l'art. 123 CPC, au remboursement des frais judiciaires et de l'indemnité au conseil d'office mis à la charge de l'Etat. VII. L'arrêt motivé est exécutoire. La juge déléguée : Le greffier : Du 4 mars 2013 Le dispositif de l'arrêt qui précède est communiqué par écrit aux intéressés. Le greffier : Du L'arrêt qui précède, dont la rédaction a été approuvée à huis clos, est notifié en expédition complète, par l'envoi de photocopies, à : ‑ Me Sylvie Cossy (pour A.U.________), ‑ Me Antoine Eigenmann (pour B.U.________).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