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156 vom 4. März 2013</w:t>
      </w:r>
    </w:p>
    <w:p>
      <w:r>
        <w:t>VD Tribunal cantonal, 2013-03-04, FR</w:t>
      </w:r>
    </w:p>
    <w:p>
      <w:r>
        <w:rPr>
          <w:b/>
        </w:rPr>
        <w:t xml:space="preserve">Quelle: </w:t>
      </w:r>
      <w:r>
        <w:t>https://mcp.opencaselaw.ch/entscheid/vd_findinfo_HC___2013___156</w:t>
      </w:r>
    </w:p>
    <w:p>
      <w:r>
        <w:t>FR: VD_FINDINFO HC / 2013 / 156 du 4 mars 2013</w:t>
      </w:r>
    </w:p>
    <w:p>
      <w:r>
        <w:t>IT: VD_FINDINFO HC / 2013 / 156 del 4 marzo 2013</w:t>
      </w:r>
    </w:p>
    <w:p>
      <w:pPr>
        <w:pStyle w:val="Heading2"/>
      </w:pPr>
      <w:r>
        <w:t>Regeste</w:t>
      </w:r>
    </w:p>
    <w:p>
      <w:r>
        <w:t>ACTION EN CONSTATATION, ACTION EN LIBÉRATION DE DETTE, SUSPENSION DE LA PROCÉDURE, PREUVE FACILITÉE | 83 al. 2 LP, 85a LP, 241 al. 2 CPC (CH)</w:t>
      </w:r>
    </w:p>
    <w:p>
      <w:pPr>
        <w:pStyle w:val="Heading2"/>
      </w:pPr>
      <w:r>
        <w:t>Erwägungen</w:t>
      </w:r>
    </w:p>
    <w:p>
      <w:r>
        <w:rPr>
          <w:b/>
        </w:rPr>
        <w:t>E. 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[Code de procédure civile suisse du 19 décembre 2008 ; RS 272]). Les ordonnances de mesures provisionnelles étant régies par la procédure sommaire, selon l’art. 248 let. d CPC,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 RSV 173.01]). Formé en temps utile par une partie qui y a intérêt (art. 59 al. 2 let. a CPC) et portant sur des conclusions qui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l'appelante a produit, outre la décision attaquée et l'original de l'enveloppe ayant contenu celle-ci, une demande d'assistance judiciaire pour la procédure d'appel accompagnée de pièces destinées à établir sa situation financière. Dans cette mesure, ces pièces sont recevables. Pour le surplus, elles sont sans pertinence sur le fond de l'appel.</w:t>
      </w:r>
    </w:p>
    <w:p>
      <w:r>
        <w:rPr>
          <w:b/>
        </w:rPr>
        <w:t>E. 3</w:t>
      </w:r>
    </w:p>
    <w:p>
      <w:r>
        <w:t>a) L’appelante fait valoir que dans la mesure où son action en libération de dette a été déposée à tard, on ne saurait exclure d’emblée le bien-fondé de son action en constatation d’inexistence de la dette et que les arguments soulevés dans le cadre de cette dernière demande sont de nature à démontrer que son action au fond n’est nullement dénuée de chance de succès. b) aa) A teneur de l’art. 85a al. 1 LP (Loi fédérale sur la poursuite pour dettes et la faillite du 11 avril 1889 ; RS 281.1),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JT 2010 I 244 ; ATF 125 III 149 c. 2c, JT 1999 II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 2.2 et les références citées ; Gilliéron, Commentaire de la loi fédérale sur la poursuite pour dettes et la faillite, Lausanne 1999, n. 16 ad art. 85a LP ; Stoffel/Chabloz, Voies d’exécution, 2 e éd., Berne 2010, n. 175, p. 133). L’absence d’opposition formée en temps utile est dès lors une condition de recevabilité de l’action (ATF 128 III 334). bb)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Commentaire romand, Poursuite et faillite, Bâle 2005, n. 7 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 cc)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 Reeb, op. cit., p. 277 ; Gilliéron, op. cit., n. 73 ad art. 85a LP ; dans le même sens TF 5P.69/2003 du 4 avril 2003 c. 5.3). L’existence d’une poursuite pendante et valable est une autre condition de recevabilité de l’action selon l’art. 85a LP (TF 5A_712/2008 du 2 décembre 2008 c. 2.1 ; ATF 127 I 41 c. 4c, JT 2000 Il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 4c-d, JT 2000 Il 98). dd) L’action en annulation de la poursuite ouvre au débiteur la possibilité d’agir après le délai de 20 jours pour l’action en libération de dette, sans être limité à certains motifs ou à la preuve par titre. L’action prévue à l’art. 85a LP constitue ainsi un correctif de dernier recours notamment parce qu’une décision de mainlevée est devenue définitive, parce que le débiteur n’a pas intenté l’action en libération de dette dans le délai de 20 jours de l’art. 83 al. 2 LP, mais pas si le débiteur a été débouté dans l’action en libération de dette par une décision ayant autorité de chose jugée (Stoffel/Chabloz, op. cit., n. 175, p. 133 ; Bodmer/Bangert, Basler Kommentar, SchKG I, 2 e éd., Bâle 2010, nn. 8-9 ad art. 85a LP ; Marchand, Poursuite pour dettes et faillite, du Palais de justice à la salle des ventes, 2008, p. 70 ch. 7). Dans cette dernière hypothèse, le débiteur ne peut se prévaloir que de faits intervenus après l’entrée en force du jugement, à savoir de nova proprement dits (TF 5C.234/2000 du 22 février 2001 c. 2 ; TF 5A_591/2007 du 10 avril 2008 c. 3.2.2, in JT 2008 II 121). ee) Conformément à l’art. 85a al. 2 LP, le juge n’ordonne la suspension provisoire de la poursuite que si la demande est "très vraisemblablement fondée”.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SP.69/2003 du 4 avril 2003 c.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 incline à partager le point dé vue du requérant (Schmidt, op. cit., n. 9 ad art. 85a LP; Brönnimann, Zur Klage nach Art. 85a SchKG (“Negative Feststellungsklage”), AJP/PJA 1996, pp. 1394 ss, spéc. 1398 ; Tenchio, op. cit., pp. 167-170 ; Bodmer/Bangert, op. cit., n. 21 ad art. 85a LP). Ainsi, le degré de preuve requis doit dépasser la simple vraisemblance, sans pour autant que la certitude soit exigée (Gilliéron, op. cit., n. 71 ad art. 85a LP). c) En l’espèce, l’appelante a introduit le 21 juillet 2011 une action en libération de dette, concluant notamment au maintien de l'opposition dans le cadre de la poursuite n° X.________ de l'Office des poursuites de Nyon. Elle a retiré cette action le 22 mars 2012. Par prononcé du 25 juillet 2012, la Présidente du Tribunal d’arrondissement de La Côte a pris acte de ce retrait et a rayé la cause du rôle, considérant qu’aux termes de l’art. 241 al. 2 CPC, un désistement avait les effets d’une décision entrée en force, tout comme un acquiescement ou une transaction. Dans la mesure où ce prononcé n'a fait l'objet d’aucun recours ni appel, il est définitif et exécutoire. Le désistement d’action a les effets d’une décision entrée en force (art. 241 al. 2 CPC) et jouit de l’autorité matérielle de chose jugée, sauf cas de l’art. 65 CPC (Tappy, CPC commenté, nn. 28 ss ad art. 241 CPC). L’appelante a retiré son action en libération de dette sans condition et sans que les circonstances prévues par l’art. 65 CPC ne soient réalisées. Elle ne s’est notamment pas prévalue de la tardiveté de sa demande. Au contraire, elle s’est bornée à indiquer qu’une erreur de plume s’était glissée dans son retrait d’action, qu’il convenait de lire que seul le codemandeur B.I.________ avait retiré l’action, en requérant que la cause soit reprise en ce qui la concernait, sans toutefois recourir contre le prononcé de radiation du rôle qui a suivi. Dès lors, l'appelante doit se laisser opposer l’autorité de chose jugée attachée à son retrait d’action et ne pourrait se prévaloir que de faits intervenus après l’entrée en force du jugement, à savoir de nova proprement dits. Cependant, elle ne prétend pas invoquer de tels novas, si bien que le moyen est infondé, sans qu’il y ait lieu d’examiner plus avant si la demande en libération de dette était tardive. d) Par surabondance, à supposer que l’appelante n’ait pas été limitée dans ses moyens à l’invocation de novas proprement dits, elle n’a pas établi que ses chances de succès dans la procédure au fond apparaissaient nettement meilleures que celles de sa partie adverse. Dans la procédure au fond, elle fait valoir une mauvaise exécution du contrat ayant lié les parties et invoque en compensation le dommage qui en serait résulté. Elle a offert de prouver ses allégations par témoins et par expertise. Au stade des mesures provisionnelles, elle n’a cependant offert aucune preuve. Les pièces qu’elle a produites, en particulier le courrier et le courriel adressés respectivement au représentant de l'intimée et à celle-ci le 16 septembre 2010, qui constituent de simples allégations de parties, ne suffisent manifestement pas à faire apparaître ses chances de succès comme nettement meilleures au sens restrictif susindiqué. Finalement, le seul fait que l’appelante ait bénéficié de l’assistance judiciaire n’apparaît pas plus décisif, les critères d’octroi de l’assistance judiciaire, en particulier en première instance, étant plus larges. L'appel est ainsi infondé pour ce second motif également.</w:t>
      </w:r>
    </w:p>
    <w:p>
      <w:r>
        <w:rPr>
          <w:b/>
        </w:rPr>
        <w:t>E. 4</w:t>
      </w:r>
    </w:p>
    <w:p>
      <w:r>
        <w:t>Au vu de ce qui précède, l'appel doit être rejeté dans la procédure de l’art. 312 al. 1 CPC et l'ordonnance attaquée confirmée. Vu l'issue de la procédure, la requête d'effet suspensif devient sans objet. L’appel étant dénué de chances de succès, la requête d’assistance judiciaire de l’appelante doit être rejetée (art. 117 al. 1 let. b CPC a contrario ). Les frais judiciaires de deuxième instance, arrêtés à 800 fr. (art. 65 al. 1 TFJC [tarif des frais judiciaires civils du 28 septembre 2010 ; RSV 270.11.5]), seront mis à la charge de l'appelante, qui succombe (art. 106 al. 1 CPC). Par ces motifs, le juge délégué de la Cour d’appel civile du Tribunal cantonal, statuant à huis clos, en application de l'art. 312 al. 1 CPC, prononce : I. L’appel est rejeté. II. L'ordonnance est confirmée. III. La requête d'assistance judiciaire de l'appelante est rejetée. IV. Les frais judiciaires de deuxième instance, arrêtés à 800 fr. (huit cents francs), sont mis à la charge de l'appelante A.I.________. V. L'arrêt motivé est exécutoire. Le juge délégué : Le greffier : Du</w:t>
      </w:r>
    </w:p>
    <w:p>
      <w:r>
        <w:rPr>
          <w:b/>
        </w:rPr>
        <w:t>E. 5</w:t>
      </w:r>
    </w:p>
    <w:p>
      <w:r>
        <w:t>mars 2013 Le dispositif de l'arrêt qui précède est communiqué par écrit aux intéressés. Le greffier : Du L'arrêt qui précède, dont la rédaction a été approuvée à huis clos, est notifié en expédition complète, par l'envoi de photocopies, à : ‑ Me Marc Lironi (pour A.I.________), ‑ Me Gérard Brutsch (pour D.________SA).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