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148 vom 1. Mai 2013</w:t>
      </w:r>
    </w:p>
    <w:p>
      <w:r>
        <w:t>VD Tribunal cantonal, 2013-05-01, FR</w:t>
      </w:r>
    </w:p>
    <w:p>
      <w:r>
        <w:rPr>
          <w:b/>
        </w:rPr>
        <w:t xml:space="preserve">Quelle: </w:t>
      </w:r>
      <w:r>
        <w:t>https://mcp.opencaselaw.ch/entscheid/vd_findinfo_HC___2013___148</w:t>
      </w:r>
    </w:p>
    <w:p>
      <w:r>
        <w:t>FR: VD_FINDINFO HC / 2013 / 148 du 1 mai 2013</w:t>
      </w:r>
    </w:p>
    <w:p>
      <w:r>
        <w:t>IT: VD_FINDINFO HC / 2013 / 148 del 1 maggio 2013</w:t>
      </w:r>
    </w:p>
    <w:p>
      <w:pPr>
        <w:pStyle w:val="Heading2"/>
      </w:pPr>
      <w:r>
        <w:t>Regeste</w:t>
      </w:r>
    </w:p>
    <w:p>
      <w:r>
        <w:t>JARDIN, CAUSALITÉ ADÉQUATE, CAUSALITÉ NATURELLE, LIEN DE CAUSALITÉ, ACTE ILLICITE, FAUTE, VOISIN | 41 CO</w:t>
      </w:r>
    </w:p>
    <w:p>
      <w:pPr>
        <w:pStyle w:val="Heading2"/>
      </w:pPr>
      <w:r>
        <w:t>Erwägungen</w:t>
      </w:r>
    </w:p>
    <w:p>
      <w:r>
        <w:rPr>
          <w:b/>
        </w:rPr>
        <w:t>E. 1</w:t>
      </w:r>
    </w:p>
    <w:p>
      <w:r>
        <w:t>L’appel est recevable contre les décisions finales de première instance (art. 308 al. 1 let. a CPC [Code de procédure civile du 19 décembre 2010; RS 272]), dans les affaires patrimoniales dont la valeur litigieuse, au dernier état des conclusions devant le tribunal de première instance, est supérieure à 10'000 fr. (art. 308 al. 2 CPC). Le délai pour l’introduction de l’appel est de trente jours à compter de la notification de la décision motivée (art. 311 al. 1 CPC).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 En l'espèce, l'état de fait du jugement est conforme aux pièces du dossier et aux autres preuves administrées, de sorte que l'autorité d'appel est à même de statuer.</w:t>
      </w:r>
    </w:p>
    <w:p>
      <w:r>
        <w:rPr>
          <w:b/>
        </w:rPr>
        <w:t>E. 3</w:t>
      </w:r>
    </w:p>
    <w:p>
      <w:r>
        <w:t>a) Les recourants font valoir une appréciation arbitraire des preuves ayant conduit les premiers juges à nier l'existence d'un lien de causalité naturelle entre le dommage subi et l'acte reproché à l'intimé. Ils considèrent que les conditions d'un lien de causalité adéquate et de l'existence d'un acte illicite sont également réalisées, de sorte que l'intimé est tenu de réparer le dommage causé à leur jardin. b) Aux termes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 4.1, rés. in JT 2006 I 258, SJ 2006 p. 181). c)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La responsabilité civile,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 citées; Werro, op. cit., n. 209). d) En l'espèce, c'est à tort que les premiers juges ont nié l'existence d'un lien de causalité naturelle au motif que les affirmations et déductions des témoins relevaient d'une appréciation établie sur la base de convictions personnelles. En effet, lorsqu'une preuve stricte n'est pas possible en raison de la nature même de l'affaire, comme c'est le cas in casu, le juge peut trancher selon la règle du degré de vraisemblance prépondérante. Il y a lieu de prendre en compte la chronologie des faits. Lors de son audition devant le préfet du district d'Avenches du 8 août 2008, A.G.________ a admis avoir répandu, en avril/mai 2006, l'herbicide Tordon, non autorisé sur le marché suisse, à la limite de la propriété de ses voisins, les époux F.________. Peu de temps après, en mai 2006, ceux-ci ont constaté un dépérissement de plusieurs de leurs arbres, arbustes, pieds de vigne et jardin potager. Les témoins A.T3.________ et B.T3.________ ont fait les mêmes constatations, non seulement dans le jardin de leurs voisins F.________, mais aussi dans celui de A.G.________. Les époux T3.________ ont encore précisé que le jardin des demandeurs avait toujours été bien entretenu avant la survenance de la dégradation de la végétation. En outre, le 31 mai 2006, les deux chiens des demandeurs sont tombés malades et le vétérinaire [...] a indiqué que les examens effectués montraient un fort soupçon d'intoxication. Dans l'échantillon de terre n o 1 prélevé le 27 mai 2006, le laboratoire Y.________SA a découvert du piclorame, substance active phytosanitaire, à teneur de 2,5 mg/kg, la marge d'erreur étant de 0,02 mg/kg, ainsi que de la dioxine à teneur 5 ng I-TEQ/kg, pour une teneur recommandée en Suisse de 0 à</w:t>
      </w:r>
    </w:p>
    <w:p>
      <w:r>
        <w:rPr>
          <w:b/>
        </w:rPr>
        <w:t>E. 5</w:t>
      </w:r>
    </w:p>
    <w:p>
      <w:r>
        <w:t>Il reste à examiner l'existence d'un acte illicite.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 5.1, rés. in JT 2008 I 107; ATF 124 III 297 c. 5b in fine, JT 1999 I 268, SJ 1998 p. 460; ATF 121 III 350 c. 6b, rés. in JT 1996 I 187, SJ 1996 p. 197; ATF 119 II 127 c. 3, JT 1994 I 298). Les actes illicites se réalisent par commission ou par omission. Par commission, ils consistent en un acte positif, ils violent donc une interdiction. Par omission, ils consistent dans une abstention, ils violent donc un commandement; ils présupposent un devoir universel d'agir. A défaut d'une disposition expresse, un tel devoir n'existe en général pas. En dehors de ces règles, nul n'a en principe le devoir de préserver autrui d'un dommage (Engel, Traité des obligations en droit suisse, 2 e éd., Berne 1997, p. 453). En l'espèce, le préfet d'Avenches a condamné A.G.________ à une amende de 800 fr., plus frais par 30 fr., pour avoir importé et utilisé un produit phytosanitaire non homologué et non classifié selon la législation sur les produits chimiques et ne pas avoir respecté son devoir de diligence, contrevenant ainsi aux art. 4 et 45 aOPPh, ainsi que 7 et 71 OChim. Ce comportement constitue donc un acte illicite, portant atteinte au droit absolu que constitue la propriété des appelants sur les plantes touchées et violant au demeurant une norme ayant pour but de protéger les lésés. L'intimé n'invoque par ailleurs aucun fait justificatif.</w:t>
      </w:r>
    </w:p>
    <w:p>
      <w:r>
        <w:rPr>
          <w:b/>
        </w:rPr>
        <w:t>E. 6</w:t>
      </w:r>
    </w:p>
    <w:p>
      <w:r>
        <w:t>En définitive, il apparaît que les conditions de la responsabilité délictuelle de l'art. 41 CO sont réalisées en l'espèce, la faute, retenue par les premiers juges, n'étant pas contestée. Afin de respecter la garantie de la double instance, la cause doit être renvoyée à l'autorité de première instance afin qu'elle statue sur la quotité du dommage correspondant au préjudice subi par les demandeurs.</w:t>
      </w:r>
    </w:p>
    <w:p>
      <w:r>
        <w:rPr>
          <w:b/>
        </w:rPr>
        <w:t>E. 7</w:t>
      </w:r>
    </w:p>
    <w:p>
      <w:r>
        <w:t>Il s'ensuit que l'appel doit être admis, le jugement entrepris annulé et la cause renvoyée au Tribunal d'arrondissement (art. 318 al. 1 let. c CPC) pour nouvelle décision dans le sens des considérants. Les frais judiciaires de deuxième instance sont arrêtés à 1'327 fr. (art. 62 al. 1 TFJC [tarif des frais judiciaires civils du 28 septembre 2010; RSV 270.11.5]) et mis à la charge de l'intimé, qui succombe (art. 106 al. 1 CPC). L'intimé doit verser aux appelants, solidairement entre eux, la somme de 1'500 fr. à titre de dépens (art. 7 al. 1 TDC [tarif du 23 novembre 2010 des dépens en matière civile; RSV 270.11.6]), ainsi que le montant de 1'327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