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145 vom 25. Februar 2013</w:t>
      </w:r>
    </w:p>
    <w:p>
      <w:r>
        <w:t>VD Tribunal cantonal, 2013-02-25, FR</w:t>
      </w:r>
    </w:p>
    <w:p>
      <w:r>
        <w:rPr>
          <w:b/>
        </w:rPr>
        <w:t xml:space="preserve">Quelle: </w:t>
      </w:r>
      <w:r>
        <w:t>https://mcp.opencaselaw.ch/entscheid/vd_findinfo_HC___2013___145</w:t>
      </w:r>
    </w:p>
    <w:p>
      <w:r>
        <w:t>FR: VD_FINDINFO HC / 2013 / 145 du 25 février 2013</w:t>
      </w:r>
    </w:p>
    <w:p>
      <w:r>
        <w:t>IT: VD_FINDINFO HC / 2013 / 145 del 25 febbraio 2013</w:t>
      </w:r>
    </w:p>
    <w:p>
      <w:pPr>
        <w:pStyle w:val="Heading2"/>
      </w:pPr>
      <w:r>
        <w:t>Regeste</w:t>
      </w:r>
    </w:p>
    <w:p>
      <w:r>
        <w:t>APPEL EN CAUSE, PESÉE DES INTÉRÊTS, DÉCISION INCIDENTE | 83 CPC</w:t>
      </w:r>
    </w:p>
    <w:p>
      <w:pPr>
        <w:pStyle w:val="Heading2"/>
      </w:pPr>
      <w:r>
        <w:t>Erwägungen</w:t>
      </w:r>
    </w:p>
    <w:p>
      <w:r>
        <w:rPr>
          <w:b/>
        </w:rPr>
        <w:t>E. 1</w:t>
      </w:r>
    </w:p>
    <w:p>
      <w:r>
        <w:t>Le jugement attaqué a été rendu le 18 juin 2012 de sorte que les voies de droit sont régies par le CPC (Code de procédure civile suisse du 19 décembre 2008, RS 272), entré en vigueur le 1 er janvier 2011 (art. 405 al. 1 CPC). Il en va ainsi même si le jugement attaqué est une décision incidente selon l'ancien droit de procédure cantonal, l'art. 405 al. 1 CPC s'appliquant à toutes les décisions, et non seulement aux décisions finales (ATF 137 III 424 c. 2.3.2). En revanche, la procédure au fond, dans le cadre de laquelle la décision attaquée a été prononcée, a été ouverte avant le 1 er janvier 2011. Le droit à contrôler est par conséquent l'ancien droit de procédure cantonal, jusqu'à la clôture de l'instance (art. 404 al. 1 CPC; Tappy, in CPC commenté, Bâle 2011, nn. 21 et 22 ad art. 404 al. 1 CPC).</w:t>
      </w:r>
    </w:p>
    <w:p>
      <w:r>
        <w:rPr>
          <w:b/>
        </w:rPr>
        <w:t>E. 2</w:t>
      </w:r>
    </w:p>
    <w:p>
      <w:r>
        <w:t>L'art. 82 al. 4 CPC dispose que la décision d'admission de l'appel en cause peut faire l'objet d'un recours.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c.1.2). En l'espèce, formé en temps utile par une partie qui y a intérêt (art. 59 al. 2 let. a CPC), le recours est recevable à la forme.</w:t>
      </w:r>
    </w:p>
    <w:p>
      <w:r>
        <w:rPr>
          <w:b/>
        </w:rPr>
        <w:t>E. 3</w:t>
      </w:r>
    </w:p>
    <w:p>
      <w:r>
        <w:t>Selon l'art. 320 CPC, le recours est recevable pour violation du droit (let. a) et constatation manifestement inexacte des faits (let. b). S'agissant de la violation du droit, l'autorité de recours dispose d'un plein pouvoir d'examen (Spühler, BSK ZPO, n. 12 ad art. 319 CPC);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ne permet que de corriger une erreur évidente, la notion se recoupant en définitive avec l'appréciation arbitraire des preuves (Jeandin, CPC commenté, nn. 5 et 6 ad art. 320 CPC;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 En l'espèce, l'état de fait retenu par le premier juge est conforme à la procédure et aux pièces du dossier; il n'est d'ailleurs pas remis en cause par la recourante.</w:t>
      </w:r>
    </w:p>
    <w:p>
      <w:r>
        <w:rPr>
          <w:b/>
        </w:rPr>
        <w:t>E. 4</w:t>
      </w:r>
    </w:p>
    <w:p>
      <w:r>
        <w:t>La recourante invoque une violation de l’art. 83 al. 1 let. a et c CPC-VD ( Code de procédure civile vaudois du 14 décembre 1966) . Elle relève l’absence de lien de droit avec l’appelante J.________SA, l’absence de vraisemblance de l’existence des prétentions de J.________SA à son encontre, la complication du procès et l’absence de risque de jugements contradictoires. a) 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CPC-VD (JT 2001 III 9 c. 3a; JT 1997 III 112). La notion d’intérêt direct doit permettre d’apprécier si l’intérêt invoqué par le requérant est suffisamment caractérisé pour que l’alourdissement consécutif du procès puisse être légitimement imposé à l’autre partie (Poudret/Haldy/Tappy, Procédure civile vaudoise, 3e éd., Lausanne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CREC du 12 décembre 2012/436 c. 4; CREC I 5 mai 2010/227 c. 3a). Selon le Tribunal fédéral, l’appel en cause présente plusieurs avantages aussi bien pour l’appelé en cause que pour la justice elle-même. Il permet, en effet, de régler plusieurs prétentions litigieuses devant le même juge, dans la même procédure, avec une seule et même administration des preuves. Le risque de décisions contradictoires est évité; il en résulte une sensible économie d’énergie et de coûts (TF 4A_431/2009 du 18 novembre 2009 c. 2.3, reproduit in RSPC 2010 p. 122 avec note Haldy p. 126). L’appel en cause peut aussi générer des inconvénients puisqu’il alourdit et retarde le procès principal, raison pour laquelle l’art. 83 al. 2 CPC-VD prévoit que, s’il en résulte une complication excessive du procès, le juge peut refuser l’appel en cause.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CPC-VD en matière de consorité, ce qui devrait conduire la jurisprudence à distinguer entre les cas de connexité parfaite, visés à l’art. 74 let. b CPC-VD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CPC-VD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CPC-VD, p. 153). b) Dans le cas d’espèce, le premier juge a certes indiqué qu’il ne ressortait pas de l’état de fait qu’il ait existé des relations contractuelles entre la recourante et J.________SA, ou entre N.________ et J.________SA. Il n’est toutefois pas exclu, au regard du rôle confus joué par chacune des parties, que ces dernières aient été liées par une relation quasi contractuelle, voire que l’une d’entre elles doive assumer une responsabilité délictuelle. L’existence de prétentions de J.________SA contre l’appelée n’est donc en l’état pas improbable. En tout état de cause, le premier juge retient l’existence d’une connexité claire entre les circonstances factuelles qui sous-tendent l’action au fond et l’action que l’appelante entend exercer contre l’appelée en cause. Cela ne peut qu’être confirmé compte tenu de l’état de fait retenu. Le risque lié à des jugements contradictoires est bien réel, au regard de la complexité de l’état de fait. Et la connexité claire entre les circonstances factuelles susmentionnées ne paraît pas conduire à une complication excessive de l’instruction. La recourante ne le démontre en tout cas pas. La balance des intérêts en présence commande d’admettre l’appel en cause. La solution retenue par le premier juge doit en conséquence être confirmée.</w:t>
      </w:r>
    </w:p>
    <w:p>
      <w:r>
        <w:rPr>
          <w:b/>
        </w:rPr>
        <w:t>E. 5</w:t>
      </w:r>
    </w:p>
    <w:p>
      <w:r>
        <w:t>Il s'ensuit que le recours doit être rejeté et le jugement incident confirmé. Les frais judiciaires de deuxième instance, arrêtés à 4’410 fr. (art. 69 al. 1 TFJC  [Tarif des frais judiciaires civils du 28 septembre 2010; RSV 270.11.5]), sont mis à la charge de la recourante Z.________SA qui succombe (art. 106 al. 1 CPC). Elle devra également verser à chacun des intimés la somme de 1'000 fr. (art. 8 et 20 al. 2 TDC [Tarif des dépens en matière civile RSV 270.11.6]) à titre de dépens de deuxième instance. Par ces motifs, la Chambre des recours civile du Tribunal cantonal, statuant à huis clos, prononce : I. Le recours est rejeté. II. Le jugement est confirmé. III. Les frais judiciaires de deuxième instance, arrêtés à 4'410 fr.  (quatre mille quatre cent dix francs), sont mis à la charge de la recourante Z.________SA. IV. La recourante Z.________SA doit verser à chacun des intimés, J.________SA et N.________, la somme de 1'000 fr. (mille francs) à titre de dépens de deuxième instance. V. L'arrêt motivé est exécutoire. Le président :               Le greffier : Du 26 février 2013 Le dispositif de l'arrêt qui précède est communiqué par écrit aux intéressés. Le greffier : Du L'arrêt qui précède, dont la rédaction a été approuvée à huis clos, est notifié en expédition complète, par l'envoi de photocopies, à : ‑ Me Daniel Pache (pour Z.________SA), ‑ Me Jean-David Pelot (pour N.________), - Me Céline Courbat (pour J.________SA). La Chambre des recours civile considère que la valeur litigieuse est de 411'048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