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14 vom 27. November 2012</w:t>
      </w:r>
    </w:p>
    <w:p>
      <w:r>
        <w:t>VD Tribunal cantonal, 2012-11-27, FR</w:t>
      </w:r>
    </w:p>
    <w:p>
      <w:r>
        <w:rPr>
          <w:b/>
        </w:rPr>
        <w:t xml:space="preserve">Quelle: </w:t>
      </w:r>
      <w:r>
        <w:t>https://mcp.opencaselaw.ch/entscheid/vd_findinfo_HC___2013___14</w:t>
      </w:r>
    </w:p>
    <w:p>
      <w:r>
        <w:t>FR: VD_FINDINFO HC / 2013 / 14 du 27 novembre 2012</w:t>
      </w:r>
    </w:p>
    <w:p>
      <w:r>
        <w:t>IT: VD_FINDINFO HC / 2013 / 14 del 27 novembre 2012</w:t>
      </w:r>
    </w:p>
    <w:p>
      <w:pPr>
        <w:pStyle w:val="Heading2"/>
      </w:pPr>
      <w:r>
        <w:t>Regeste</w:t>
      </w:r>
    </w:p>
    <w:p>
      <w:r>
        <w:t>VISITE, INTÉRÊT DE L'ENFANT, RELATIONS PERSONNELLES, MÈRE | 273 al. 1 CC, 274 al. 2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JT 2010 III 121).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RSV 173.01]). En l'espèce, formé en temps utile par une partie qui y a intérêt (art. 59 al. 2 let. a CPC) et portant sur des conclusions non patrimoniales,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(Tappy, Les voies de droit du nouveau Code de procédure civile, JT 2011 III 43 et les réf. citées).</w:t>
      </w:r>
    </w:p>
    <w:p>
      <w:r>
        <w:rPr>
          <w:b/>
        </w:rPr>
        <w:t>E. 3</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5A_716/2010 du 23 février 2011 c. 4 et réf., FamPra.ch 2011 p. 491; ATF 131 III 209 c. 5; ATF 123 III 445 c. 3b). Le droit aux relations personnelles vise à sauvegarder le lien existant entre parents et enfants (Hegnauer, Droit suisse de la filiation,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Il faut en outre prendre en considération la situation et les intérêts de l’ayant droit : sa relation avec l’enfant, sa personnalité, son lieu d’habitation, son temps libre, son environnement. Enfin, il faut tenir compte de la situation des personnes chez qui l’enfant vit (Hegnauer, op. cit., n. 19.09, p. 111). Des conditions particulières pour l’exercice du droit de visite peuvent être imposées (Hegnauer, op. cit., n. 19.16, p. 114).</w:t>
      </w:r>
    </w:p>
    <w:p>
      <w:r>
        <w:rPr>
          <w:b/>
        </w:rPr>
        <w:t>E. 4</w:t>
      </w:r>
    </w:p>
    <w:p>
      <w:r>
        <w:t>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 3b; TF 5P_33/2001 du 5 juillet 2001 c. 3a). Conformément au principe de proportionnalité, il importe en outre que cette menace ne puisse être écartée par d’autres mesures appropriées (TF 5A_448/2008 du 2 octobre 2008; TF 5P_131/2006 du 25 août 2006, publié in FamPra.ch 2007 p. 167; ATF 131 III 209, JT 2005 I 2002; ATF 118 lI 21 c. 3c, JT 1995 I 548). Les conflits entre les parents ne constituent pas un motif de restreindre le droit de visite. Une telle limitation n’est justifiée que s’il y a lieu d’admettre, au regard des circonstances, que l’octroi d’un droit de visite usuel compromet le bien de l’enfant (ATF 131 III 209 c. 5). On peut admettre qu’un parent ne s’est pas soucié sérieusement de son enfant au sens de l’art. 274 al. 2 CC lorsqu’il ne prend aucune part à son bien-être, s’en remet en permanence à d’autres pour les soins dus à l’enfant et n’entreprend rien pour établir ou entretenir une relation vivante avec lui; peu importe de savoir si les efforts auraient été couronnés de succès et si le comportement du parent habilité à donner son consentement est coupable ou non (ATF 118 Il 21 c. 3d). Le retrait de tout droit à des relations personnelles constitue l’ultima ratio et ne peut être ordonné dans l’intérêt de l’enfant que si les effets négatifs des relations personnelles ne peuvent être maintenus dans des limites supportables pour l’enfant.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RDT 2/2009 p. 111). L’établissement d’un droit de visite surveillé nécessite des indices concrets de mise en danger du bien de l’enfant (TF 5P_131/2006 du 25 août 2006 précité; Hegnauer, op. cit., n. 19.20, p. 116).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in FamPra 2008 p. 173).</w:t>
      </w:r>
    </w:p>
    <w:p>
      <w:r>
        <w:rPr>
          <w:b/>
        </w:rPr>
        <w:t>E. 5</w:t>
      </w:r>
    </w:p>
    <w:p>
      <w:r>
        <w:t>L'appelante soutient qu'à la suite de la séparation effective d'avec son époux, le conflit conjugal est aujourd’hui apaisé, de sorte que l’enfant ne sera plus instrumentalisé comme par le passé. Elle considère que la rencontre catastrophique du 21 juin 2012 entre sa fille et elle doit être mise sur le compte de la non préparation de cette visite et sur le fait qu'elle était à ce moment-là en phase A dite de soins aigus. Elle soutient que l’évolution favorable et la mise en place d’actions concrètes (compliance au traitement et mise en place d’une curatelle volontaire) démontrent qu'elle a conscience des besoins de sa fille et du tort qu’elle lui a causé et que la vision négative de sa fille à son encontre est le résultat de l’aliénation du père à son égard. En l'espèce, C.G.________ est placée en famille d'accueil depuis le 13 février 2012. Elle a eu douze ans en mars 2012. Victime pendant plusieurs années de maltraitances et du grave conflit conjugal existant entre ses parents, instrumentalisée, elle présentait en outre un retard dans son développement. Depuis lors, elle a enfin retrouvé une vie d'enfant, elle a des relations avec d'autres camarades, elle rit et fait des progrès sur le plan scolaire. Elle se reconstruit avec peine, petit à petit. Selon le témoin X.________, il n'est pour l'instant pas question pour elle de revoir sa mère. Le psychiatre traitant de l'appelante auprès du CPNVD, le Dr L.________, a exposé que sa patiente – qui était hospitalisée depuis le 1 er juin 2012 – présentait une pathologie complexe, un déni de la réalité et une personnalité psychotique. Considérant le trouble dont souffrait l'intéressée et l'importance que celle-ci se rende compte que sa fille était vivante, le praticien a souhaité organiser dans ce but une séance sous supervision, qui s'est déroulée le 21 juin 2012. D’emblée, l’appelante s’est montrée accusatrice envers sa fille et l’a menacée. C.G.________ a pleuré et la séance a été écourtée. Lors de l'audience du 4 septembre 2012, l'appelante a annoncé qu'elle se trouvait actuellement en phase C, soit celle censée permettre sa réinsertion dans la vie courante, et qu'elle rejoindrait le lendemain le foyer de la Thièle, à Yverdon-les-Bains, qui a pour but la réinsertion des personnes en rupture familiale, personnelle ou professionnelle. L'appelante soutient que sa fille n'aurait jamais dit qu'elle ne souhaitait pas la voir (recours, p. 6, dernier paragraphe, en parlant de « ses parents »). Outre le fait que l'appelante n'étaye en rien cette allégation, on ne voit aucune raison de remettre en doute la parole de l'assistante sociale – et par là même celle d'C.G.________ – selon laquelle l'enfant se réjouit de savoir que sa mère se soigne, mais qu'elle a besoin d'avoir la certitude que cette prise en charge va s'inscrire dans la durée et qu'elle ne souhaite pas la revoir pour l'instant. Ce déni démontre bien plutôt encore l'incapacité de l'intimée ne serait-ce qu'à accepter la réalité des souhaits de sa fille. Si C.G.________ avait déjà très peur des réactions de sa mère avant la rencontre catastrophique du 21 juin 2012 (cf. lettre du SPJ du 6 juillet 2012, avant-dernier par.), il n'est pas anormal que ce sentiment et le refus de renouer le contact perdurent. Cette résolution ferme d'C.G.________ doit être prise en compte, vu l’âge de cette dernière (TF 5A_107/2007 c.3.2). L'appelante soutient également que la vision négative que sa fille a d'elle et son refus de la rencontrer résultent de l'aliénation de son époux. Force est de constater qu'aucune pièce au dossier ne permet de déduire cette thèse, l'appelante ne motivant par ailleurs pas plus avant son allégation. Cela étant, le premier juge n’a pas perdu de vue que l’évolution de l'état de santé de l’appelante était actuellement favorable et que celle-ci avait demandé une mise sous curatelle volontaire. Toutefois, il faut convenir avec lui que l'évolution n'est pas telle que des relations entre mère et fille puissent en l'état être envisagées. C.G.________fragilisée par les traumatismes vécus et il n'est pas envisageable que son nouvel équilibre patiemment reconstruit soit réduit à néant. C’est par conséquent à juste titre que le premier juge a renoncé, en l’état, à ordonner la reprise de relations personnelles mère-fille. Sa décision ne souffre aucune critique. C'est toutefois le lieu de rappeler que le premier juge, au chiffre II de son dispositif, a précisé que la question des relations mère-fille était susceptible d'être reconsidérée sur préavis favorable conjoint des thérapeutes de la mère et de l'enfant auprès du CPNVD ainsi que du SPJ.</w:t>
      </w:r>
    </w:p>
    <w:p>
      <w:r>
        <w:rPr>
          <w:b/>
        </w:rPr>
        <w:t>E. 6</w:t>
      </w:r>
    </w:p>
    <w:p>
      <w:r>
        <w:t>En conclusion, l'appel doit être rejeté dans la procédure de l'art. 312 al. 1 CPC et la décision entreprise confirmée. L'appel étant d'emblée dépourvu de chances de succès, la requête d'assistance judiciaire de l'appelante doit être rejetée (art. 117 let. b CPC). Les frais judiciaires de deuxième instance, arrêtés à 600 fr. (art. 63 al. 1 TFJC [tarif des frais judiciaires civils du 28 septembre 2010; RSV 270.11.5], sont par conséquent mis à sa charge (art. 106 al. 1 CPC). N'ayant pas été invité à se déterminer, l'intimé n'a pas droit à des dépens. Par ces motifs, le juge délégué de la Cour d’appel civile du Tribunal cantonal, statuant à huis clos, en application de l'art. 312 al. 1 CPC, prononce : I. L’appel est rejeté. II. L'ordonnance est confirmée. III. La requête d'assistance judiciaire est rejetée. IV. Les frais judiciaires de deuxième instance, arrêtés à 600 fr. (six cents francs), sont mis à la charge de l'appelante A.G.________. V. L'arrêt motivé est exécutoire. Le juge délégué : La greffière : Du 27 novembre 2012 Le dispositif de l'arrêt qui précède est communiqué par écrit aux intéressés. La greffière : Du L'arrêt qui précède, dont la rédaction a été approuvée à huis clos, est notifié en expédition complète, par l'envoi de photocopies, à : ‑ Me Sofia Arsénio (pour A.G.________) ‑ Me Ana Rita Perez (pour B.G.________)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