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137 vom 12. März 2013</w:t>
      </w:r>
    </w:p>
    <w:p>
      <w:r>
        <w:t>VD Tribunal cantonal, 2013-03-12, FR</w:t>
      </w:r>
    </w:p>
    <w:p>
      <w:r>
        <w:rPr>
          <w:b/>
        </w:rPr>
        <w:t xml:space="preserve">Quelle: </w:t>
      </w:r>
      <w:r>
        <w:t>https://mcp.opencaselaw.ch/entscheid/vd_findinfo_HC___2013___137</w:t>
      </w:r>
    </w:p>
    <w:p>
      <w:r>
        <w:t>FR: VD_FINDINFO HC / 2013 / 137 du 12 mars 2013</w:t>
      </w:r>
    </w:p>
    <w:p>
      <w:r>
        <w:t>IT: VD_FINDINFO HC / 2013 / 137 del 12 marzo 2013</w:t>
      </w:r>
    </w:p>
    <w:p>
      <w:pPr>
        <w:pStyle w:val="Heading2"/>
      </w:pPr>
      <w:r>
        <w:t>Regeste</w:t>
      </w:r>
    </w:p>
    <w:p>
      <w:r>
        <w:t>MESURE PROVISIONNELLE, OBLIGATION D'ENTRETIEN, MODIFICATION DES CIRCONSTANCES | 179 al. 1 CC</w:t>
      </w:r>
    </w:p>
    <w:p>
      <w:pPr>
        <w:pStyle w:val="Heading2"/>
      </w:pPr>
      <w:r>
        <w:t>Erwägungen</w:t>
      </w:r>
    </w:p>
    <w:p>
      <w:r>
        <w:rPr>
          <w:b/>
        </w:rPr>
        <w:t>E. 1</w:t>
      </w:r>
    </w:p>
    <w:p>
      <w:r>
        <w:t>L’appel est recevable contre les ordonnances de mesures provisionnelles, dans les causes exclusivement patrimoniales pour autant que la valeur litigieuse, au dernier état des conclusions devant l’autorité inférieure, soit de 10'000 fr. au moins (art. 308 al. 1 let. b et al. 2 CPC [Code de procédure civile suisse du 19 décembre 2008; RS 272]). Les ordonnances de mesures provisionnelles étant régies par la procédure sommaire, selon l’art. 248 let. d CPC (et selon l’art. 271 CPC par renvoi de l’art. 276 CPC pour les procédures matrimoniales),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RSV 173.01]). Formé en temps utile par une partie qui y a intérêt (art. 59 al. 2 let. a CPC) et portant sur des conclusions qui, capitalisées selon l'art. 92 al. 2 CPC, sont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l'occurrence, les pièces produites par l'appelant sont recevables dans la mesure où elles ne pouvaient être produites en première instance. Elles ne concernent en réalité qu'un aspect procédural de la présente cause puisqu'elles sont relatives au changement de conseil d'office de l'appelant. Elles n'appellent ainsi pas de commentaire particulier.</w:t>
      </w:r>
    </w:p>
    <w:p>
      <w:r>
        <w:rPr>
          <w:b/>
        </w:rPr>
        <w:t>E. 3</w:t>
      </w:r>
    </w:p>
    <w:p>
      <w:r>
        <w:t>Seule est litigieuse la contribution d’entretien de l'appelant en faveur de sa famille. Dans un premier moyen, l'appelant soutient que la dégradation de son état de santé constitue un fait nouveau justifiant de revoir le montant de dite contribution d'entretien. 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et par renvoi de l’art. 276 al. 1 CPC pour les secondes. Aux termes de l’art. 179 al. 1, 1ère phr. CC, à la requête d'un époux,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ATF 137 III 604 c. 4.1.1). b) En l'occurrence, l'appelant, pièces à l'appui, fait état de problèmes de santé qui auraient des répercussions directes sur sa capacité de gain. Ces problèmes de santé, que le premier juge aurait ignoré, se composent d'une chorioréthinopathie et de graves troubles auditifs. S'il est exact que des pièces au dossier parlent de ses pathologies dont souffre l'appelant, il n'en ressort néanmoins aucunement qu'elles pourraient avoir une influence sur sa capacité de gain. La pièce 56/1 mentionnant la chorioréthinopathie n'est qu'une simple ordonnance d'un ophtalmologue. Aucune indication n'y figure sur l'avancement de cette pathalogie chez l'appelant, ni même quant au handicap qu'elle pourrait susciter chez l'appelant. D'ailleurs, il ressort de la description de cette maladie produite par l'appelant lui-même en première instance qu'une régression spontanée de cet œdème maculaire est assez fréquente. S'il s'avère en effet que l'appelant semble souffrir d'une chorioréthinopathie, en l'état, cet élément n'apparaît pas comme significatif et durable et ne justifiait pas d'entrer en matière sur sa requête. Le raisonnement est identique en ce qui concerne les problèmes auditifs dont souffrirait l'appelant. Les pièces au dossier démontrent certes qu'il présente une surdité et porte des appareils acoustiques (pièces 56/2). On a cependant peine à croire que cet élément, certes non existant lors du prononcé de mesures protectrices de l'union conjugale du 23 octobre 2008, puisse avoir une incidence significative sur la situation de l'appelant puisqu'il présente cette surdité depuis 2010 en tout cas et qu'il n'est à nouveau aucunement démontré en quoi cette problématique handicape l'appelant, ni si elle a une réelle influence sur sa capacité de gain. Ainsi, quand bien même le premier juge n'a pas examiné la problématique de l'état de santé de l'appelant, c'est à juste titre qu'il n'est pas entré en matière sur la requête, cet examen, possible en deuxième instance compte tenu du pouvoir de cognition du juge de céans, n'ayant pas démontré, comme exposé, que la situation s'était modifiée de manière essentielle et durable. Il n'est dès lors pas nécessaire d'examiner les autres moyens soulevés par l'appelant. On relèvera pour le surplus que c'est à bon droit que le premier juge a estimé que la situation de l'appelant ne s'était également pas modifiée s'agissant de son bénéfice dont on est loin de pouvoir constater une chute essentielle et durable. Quant à l'engagement d'un employé, c'est également à juste titre que le premier juge a retenu qu'il ne s'agissait pas d'un fait nouveau puisque l'appelant avait déjà un employé en 2008. Seul le motif de cet engagement invoqué par l'appelant a changé entre temps. A ce propos, on peut d'ailleurs se demander si l'engagement d'un employé à la suite d'un retrait de permis de conduire pour une durée indéterminée et impliquant des charges supplémentaires constitue un motif de réexamen d'une pension. Quoi qu'il en soit, les considérations émises par le juge des mesures protectrices de l'union conjugale à cet égard (prononcé de mesures protectrices de l'union conjugale du 23 octobre 2008 c. 6b et arrêt sur appel du 10 février 2009 c. 7) restent pertinentes et actuelles.</w:t>
      </w:r>
    </w:p>
    <w:p>
      <w:r>
        <w:rPr>
          <w:b/>
        </w:rPr>
        <w:t>E. 4</w:t>
      </w:r>
    </w:p>
    <w:p>
      <w:r>
        <w:t>Mal fondé, l'appel doit être rejeté en application de l'art. 312 al. 1 CPC et l'ordonnance entreprise confirmée. Les frais de deuxième instance, arrêtés à 1'200 fr. (art. 63 al. 2 TFJC [tarif des frais judiciaires civils; RSV 270.11.5]), sont laissés à la charge de l'Etat. Me Arnaud Thierry a produit une liste détaillée de ses opérations annonçant 4h25 de travail et 39 fr. de débours. Ce décompte peut être admis, de sorte qu'il y a lieu d'arrêter son indemnité d'office à 916 fr. 10, correspondant à 4h30 de travail à un tarif horaire de 180 fr., plus 39 fr. de débours et 67 fr. 90 de TVA. Le bénéficiaire de l'assistance judiciaire est, dans la mesure de l'art. 123 CPC, tenu au remboursement des frais judiciaires et de l'indemnité à son conseil d'office mis à la charge de l'Etat. Il n'y a pas lieu à l'allocation de dépens, l'intimée n'ayant pas été invitée à se déterminer. Par ces motifs, le juge délégué de la Cour d’appel civile du Tribunal cantonal, statuant à huis clos, en application de l'art. 312 al. 1 CPC, prononce : I. L’appel est rejeté. II. Le jugement est confirmé. III. Les frais judiciaires de deuxième instance, arrêtés à 1'200 fr. (mille deux cents francs), sont laissés à la charge de l'Etat. IV. L'indemnité de conseil d'office de Me Arnaud Thierry, conseil de l'appelant, est arrêtée à 916 fr. 10 (neuf cent seize francs et dix centimes), TVA et débours compris. V. Le bénéficiaire de l'assistance judiciaire est, dans la mesure de l'art. 123 CPC, tenu au remboursement des frais judiciaires et de l'indemnité à son conseil d'office mis à la charge de l'Etat. VI. L'arrêt est exécutoire. Le juge délégué : La greffière : Du L'arrêt qui précède, dont la rédaction a été approuvée à huis clos, est notifié en expédition complète, par l'envoi de photocopies, à : ‑ Me Arnaud Thierry (pour H.K________), ‑ Me Angelo Ruggiero (pour S.K________).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