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127 vom 24. Januar 2013</w:t>
      </w:r>
    </w:p>
    <w:p>
      <w:r>
        <w:t>VD Tribunal cantonal, 2013-01-24, FR</w:t>
      </w:r>
    </w:p>
    <w:p>
      <w:r>
        <w:rPr>
          <w:b/>
        </w:rPr>
        <w:t xml:space="preserve">Quelle: </w:t>
      </w:r>
      <w:r>
        <w:t>https://mcp.opencaselaw.ch/entscheid/vd_findinfo_HC___2013___127</w:t>
      </w:r>
    </w:p>
    <w:p>
      <w:r>
        <w:t>FR: VD_FINDINFO HC / 2013 / 127 du 24 janvier 2013</w:t>
      </w:r>
    </w:p>
    <w:p>
      <w:r>
        <w:t>IT: VD_FINDINFO HC / 2013 / 127 del 24 gennaio 2013</w:t>
      </w:r>
    </w:p>
    <w:p>
      <w:pPr>
        <w:pStyle w:val="Heading2"/>
      </w:pPr>
      <w:r>
        <w:t>Regeste</w:t>
      </w:r>
    </w:p>
    <w:p>
      <w:r>
        <w:t>SÛRETÉS, DOMICILE À L'ÉTRANGER, ADMISSION DE LA DEMANDE | 99 CPC (CH)</w:t>
      </w:r>
    </w:p>
    <w:p>
      <w:pPr>
        <w:pStyle w:val="Heading2"/>
      </w:pPr>
      <w:r>
        <w:t>Erwägungen</w:t>
      </w:r>
    </w:p>
    <w:p>
      <w:r>
        <w:rPr>
          <w:b/>
        </w:rPr>
        <w:t>E. 1</w:t>
      </w:r>
    </w:p>
    <w:p>
      <w:r>
        <w:t>Y.________ est une société suisse active dans la fourniture de services pour la mise en valeur et l'exploitation des droits de propriété intellectuelle dans le cadre de la culture, du sport et du mouvement olympique. Par contrat du 24 mai 2006, la société précitée a engagé P.________, domicilié aux Etats-Unis d'Amérique, à Orinda en Californie. Par pli recommandé du 21 mars 2011, Y.________ lui a signifié son licenciement. Le 8 avril 2011, P.________ a fait opposition à la résiliation de son contrat de travail.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fait valoir que la décision attaquée a été rendue en violation de l'art. 99 al. 1 let. a CPC, l'intimé ne pouvant en l'espèce se prévaloir d'un traité ou d'une convention le dispensant de fournir des sûretés. En particulier, ni la Convention de La Haye relative à la procédure civile du 1 er mars 1954 (RS 0.274.12), ni la Convention de La Haye tendant à faciliter l’accès international à la justice du 25 octobre 1980 (RS 0.274.133) ne s’appliquent, dès lors que l'intimé n’est pas domicilié dans l’un des Etats contractants. De même, le Traité conclu entre la Confédération suisse et les Etats-Unis d’Amérique du Nord du 25 novembre 1850 ne dispense pas l'intimé de fournir une cautio judicatum solvi, le principe d’égalité entre ressortissants américains et suisses consacré à l’article premier ne lui étant d’aucun secours, dès lors qu’un demandeur suisse domicilié à l’étranger devrait, à teneur de l’art. 99 al. 1 let. a CPC, également fournir une telle garantie. b) Aux termes de l'art. 99 al. 1 let. a CPC, le demandeur doit, sur requête du défendeur, fournir des sûretés en garantie du paiement des dépens s’il n’a pas de domicile ou de siège en Suisse. L'art. I al. 1 du Traité prévoit notamment que les citoyens des Etats-Unis d’Amérique et les citoyens de la Suisse sont admis et traités sur un pied d’égalité réciproque dans les deux pays et qu'ils ont libre accès devant les tribunaux pour y faire valoir leurs droits en justice à l’instar des nationaux de l'autre Etat. Le Tribunal fédéral a jugé que le principe du libre accès aux tribunaux susmentionné n'avait pas pour effet d'abroger l'obligation, pour un ressortissant américain domicilié aux Etats-Unis d'Amérique, de fournir des sûretés dans un procès intenté en Suisse (ATF 121 I 108, JT 1996 I 86; ATF 60 I 220, JT 1935 I 249; TF 4P.153/2003 du 7 octobre 2003 c. 2.3.1). Il a toutefois admis en lien avec l'art. 95 al. 1 CPC-VD (Code de procédure civile vaudoise du 14 décembre 1966, RSV 270.11), abrogé depuis l'entrée en vigueur du CPC le 1 er janvier 2011, qui prévoyait que "le demandeur étranger à la Suisse, qui n'est pas domicilié dans le canton, est tenu de fournir caution ou dépôt pour assurer le paiement des dépens présumés", qu'un ressortissant des Etats-Unis d'Amérique pouvait être dispensé de fournir des sûretés en vertu de la seule clause de libre accès aux tribunaux contenue à l'art. I al. 1 du Traité, pour autant qu'il établisse qu'un demandeur suisse n'y serait pas astreint devant les tribunaux de l'Etat américain concerné (cf. ATF 60 I 220, JT 1935 I 249, auquel se réfère l'ATF 121 I 108, JT 1996 I 86 c. 3; JT 1957 III 55; Poudret/Haldy/Tappy, Code de procédure civile vaudoise, Lausanne 2002, n. 1 ad art. 95 CPC-VD; CREC I 16 décembre 2011/294 c. 3 ab et ac). c) Contrairement à certaines règles cantonales aujourd’hui abandonnées (notamment l’art. 95 al. 1 CPC-VD précité), l’art. 99 al. 1 let. a CPC se réfère uniquement à l’absence de domicile ou de siège en Suisse et non à la nationalité du demandeur. Cette disposition s’applique donc également aux Suisses de l’étranger (Tappy, CPC commenté, Bâle 2011, n. 23 ad art. 99 CPC). Ainsi, l'art. I al. 1 du Traité ne saurait libérer un ressortissant américain domicilié aux Etats-Unis d'Amérique de l’obligation de fournir des sûretés pour un procès intenté en Suisse, dès lors qu'un ressortissant suisse domicilié à l’étranger peut faire l’objet de la même mesure. Il ne saurait, dans ces conditions, être question d’un traitement inégal (ATF 121 I 108, JT 1996 I 86 c. 3a) et le traité n’est donc d’aucun secours à l’intimé. Le premier juge a considéré que la condition de réciprocité contenue dans le Traité l'obligeait à examiner si un demandeur domicilié à l’étranger devrait fournir des sûretés pour intenter un procès dans l’Etat de Californie. Peu importe en réalité. Le Traité prohibe uniquement un traitement inégal fondé sur la nationalité; il n'impose en revanche pas aux autorités judicaires d'un Etat contractant de traiter les personnes domiciliées dans l’autre Etat contractant de la même manière que ceux domiciliés dans celui-là. Dès lors que, comme on l'a vu ci-dessus, l'art. 99 al. 1 let. a CPC est applicable, pour autant qu'ils soient domiciliés à l'étranger, tant aux demandeurs suisses qu'aux demandeurs américains, il n'en résulte aucune inégalité de traitement fondée sur la nationalité. d) On relèvera par ailleurs que le Traité diffère sur un point essentiel des traités qui, comme la Convention de La Haye relative à la procédure civile précitée, à laquelle les Etats-Unis d'Amérique n’ont pas adhéré, interdisent aux tribunaux d’astreindre les personnes domiciliées dans les Etats contractants à fournir une caution. Ces accords multilatéraux prévoient que les jugements sur les frais rendus dans l’un des Etats contractants sont exécutoires dans les autres, ce qui n’est pas le cas du Traité. Aussi l'art. I al. 1 du Traité n’empêche-t-il pas d'astreindre un demandeur américain domicilié au Etats-Unis d'Amérique à fournir une caution pour les dépens dans un procès intenté en Suisse (ATF 121 I 108, JT 1996 I 86 c. 3d). e) Au regard des éléments qui précèdent, c'est à tort que la requête en fourniture de sûretés a été rejetée en première instance et le moyen de la recourante est bien fondé.</w:t>
      </w:r>
    </w:p>
    <w:p>
      <w:r>
        <w:rPr>
          <w:b/>
        </w:rPr>
        <w:t>E. 4</w:t>
      </w:r>
    </w:p>
    <w:p>
      <w:r>
        <w:t>a) S'agissant du montant des sûretés, la recourante fait valoir que, eu égard à la valeur litigieuse supérieure à 100'000 fr., il est justifié d’astreindre le demandeur à fournir des sûretés à hauteur de 20'000 francs. Dans sa réponse, l'intimé considère que ce montant est disproportionné et qu'il a pour but de le décourager à poursuivre la procédure. b) Le premier juge ayant rejeté la requête en fourniture de sûretés dans son principe, il n'a pas fixé le montant de celles-ci. Compte tenu de la teneur de l’art. 326 CPC, qui ne permet pas à la Chambre des recours de poursuivre l’instruction de la première instance, et en vue de garantir également le bénéfice de la double instance cantonale, il convient d’annuler le prononcé attaqué, en invitant le premier juge à arrêter le montant des sûretés et impartir un délai pour leur fourniture (art. 101 al. 1 CPC).</w:t>
      </w:r>
    </w:p>
    <w:p>
      <w:r>
        <w:rPr>
          <w:b/>
        </w:rPr>
        <w:t>E. 5</w:t>
      </w:r>
    </w:p>
    <w:p>
      <w:r>
        <w:t>a) En définitive, le recours doit être admis et le prononcé annulé, la cause étant renvoyée à la Juge déléguée de la Chambre patrimoniale cantonale pour nouvelle décision dans le sens des considérants. b) Les frais judiciaires de deuxième instance, arrêtés à 500 fr. (art. 69 al. 1 et 70 al. 3 TFJC [tarif des frais judiciaires civils du 28 septembre 2010, RSV 270.11.5]), doivent être mis à la charge de l'intimé qui succombe (art. 106 al. 1 CPC). L’intimé versera ainsi à la recourante la somme de 500 fr. à titre de restitution de l’avance de frais fournie par cette dernière (art. 111 al. 2 CPC). c) L'intimé versera à la recourante des dépens de deuxième instance arrêtés à 1'200 fr. (art. 8 al. 1 TDC [tarif des dépens en matière civile du 23 novembre 2010, RSV 270.11.6]). Par ces motifs, la Chambre des recours civile du Tribunal cantonal, statuant à huis clos, prononce : I. Le recours est admis. II. Le prononcé est annulé, la cause étant renvoyée à la Juge déléguée de la Chambre patrimoniale cantonale pour nouvelle décision dans le sens des considérants. III. Les frais judiciaires de deuxième instance, arrêtés à 500 fr. (cinq cents francs), sont mis à la charge de l'intimé. IV. L'intimé P.________ doit verser à la recourante Y.________ la somme de 1'700 fr. (mille sept cents francs) à titre de dépens et de restitution d'avance de frais de deuxième instance. V. L'arrêt motivé est exécutoire. Le président :               La greffière : Du 25 janvier 2013 Le dispositif de l'arrêt qui précède est communiqué par écrit aux intéressés. La greffière : Du L'arrêt qui précède, dont la rédaction a été approuvée à huis clos, est notifié en expédition complète, par l'envoi de photocopies, à : ‑ Me Alexandre Curchod (pour P.________), ‑ Me Yvan Henzer (pour Y.________). La Chambre des recours civile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