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121 vom 24. Januar 2013</w:t>
      </w:r>
    </w:p>
    <w:p>
      <w:r>
        <w:t>VD Tribunal cantonal, 2013-01-24, FR</w:t>
      </w:r>
    </w:p>
    <w:p>
      <w:r>
        <w:rPr>
          <w:b/>
        </w:rPr>
        <w:t xml:space="preserve">Quelle: </w:t>
      </w:r>
      <w:r>
        <w:t>https://mcp.opencaselaw.ch/entscheid/vd_findinfo_HC___2013___121</w:t>
      </w:r>
    </w:p>
    <w:p>
      <w:r>
        <w:t>FR: VD_FINDINFO HC / 2013 / 121 du 24 janvier 2013</w:t>
      </w:r>
    </w:p>
    <w:p>
      <w:r>
        <w:t>IT: VD_FINDINFO HC / 2013 / 121 del 24 gennaio 2013</w:t>
      </w:r>
    </w:p>
    <w:p>
      <w:pPr>
        <w:pStyle w:val="Heading2"/>
      </w:pPr>
      <w:r>
        <w:t>Regeste</w:t>
      </w:r>
    </w:p>
    <w:p>
      <w:r>
        <w:t>CAUTIONNEMENT, POUVOIR DE REPRÉSENTATION, FORME AUTHENTIQUE, ABUS DE DROIT, MESURE PROVISIONNELLE, POURSUITE POUR DETTES, SUSPENSION DE LA PROCÉDURE | 2 CC, 493 CO, 85a LP, 261 al. 1 CPC (CH), 308 CPC (CH)</w:t>
      </w:r>
    </w:p>
    <w:p>
      <w:pPr>
        <w:pStyle w:val="Heading2"/>
      </w:pPr>
      <w:r>
        <w:t>Erwägungen</w:t>
      </w:r>
    </w:p>
    <w:p>
      <w:r>
        <w:rPr>
          <w:b/>
        </w:rPr>
        <w:t>E. 1</w:t>
      </w:r>
    </w:p>
    <w:p>
      <w:r>
        <w:t>a) 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Selon l'art. 91 al. 1 CPC, la valeur litigieuse est déterminée par les conclusions. En matière de mesures provisionnelles de type conservatoire ou d'exécution anticipée, il convient de prendre en considération non les mesures demandées elles-mêmes, mais les conclusions au fond (Juge délégué CACI 21 mars 2012/141; Tappy, CPC commenté, Bâle 2011, n. 67 ad art. 91 CPC, p. 323, qui propose une application analogique de l'art. 51 al. 1 let. c LTF [Loi sur le Tribunal fédéral du 17 juin 2005; RS 173.110]). En l'espèce, les mesures provisionnelles ont été requises dans le cadre d'une action en annulation et en suspension provisoire d'une poursuite portant sur la somme de 710'000 fr. en capital; la valeur du litige étant supérieure à 10'000 fr., la voie de l'appel est ouverte. b) L'ordonnance querellée a été rendue en application de la procédure sommaire (art. 248 let. d CPC). Par conséquent, l'appel, écrit et motivé, doit être introduit auprès du Juge délégué de la Cour d'appel civile (art. 84 al. 2 LOJV [Loi d'organisation judiciaire du 12 décembre 1979; RSV 173.01]) dans les dix jours à compter de la notification de la décision (art. 311 al. 1 et 314 al. 1 CPC). Formé en temps utile, par une partie qui y a un intérêt digne de protection (art. 59 al. 2 let. a CPC),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c. 2).</w:t>
      </w:r>
    </w:p>
    <w:p>
      <w:r>
        <w:rPr>
          <w:b/>
        </w:rPr>
        <w:t>E. 3</w:t>
      </w:r>
    </w:p>
    <w:p>
      <w:r>
        <w:t>a) L’appelante invoque une violation de son droit à la motivation des décisions dès lors que le premier juge a refusé de traiter la question de savoir si les agissements subséquents de l'intimée permettaient de couvrir le vice de forme affectant la procuration du 26 février 2009. Elle fait valoir que l'obligation de motiver s’impose tout particulièrement dans le contexte des mesures provisionnelles de l’art. 85a al. 2 LP (Loi fédérale du 11 avril 1889 sur la poursuite pour dettes et la faillite, RS 281.1), dès lors que, pour juger de la «très grande vraisemblance» d’une requête, le juge doit examiner sans tarder l’ensemble des arguments qui ont été développés, et non seulement ceux invoqués par la partie requérante.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(TF 2C_724/2012 du 25 juillet 2012 c. 5.1; ATF 137 II 266 c. 3.2; ATF 136 I 229 c. 5.2). b) En l'espèce, la motivation du premier juge, consistant à renvoyer au jugement au fond l’examen de la question de savoir si les agissements subséquents de l'intimée permettaient de couvrir le vice de forme, n’est guère satisfaisante. En effet, on ne voit pas comment il est possible, sans procéder à un examen prima facie de cette question qui est au cœur du litige, de conclure que les chances de succès de l'intimée seraient nettement meilleures que celles de sa partie adverse, ou du moins très bonnes (cf. consid. 4b/bb infra). Il ne s’ensuit pas pour autant que l’ordonnance attaquée doive être annulée. En effet, selon la jurisprudence, la violation du droit d'être entendu – pour autant qu'elle ne soit pas d'une gravité particulière – peut être réparée lorsque la partie lésée a la possibilité de s'exprimer devant une autorité de recours jouissant d'un plein pouvoir d'examen (ATF 126 V 130 c. 2b; Juge délégué CACI 23 septembre 2011/268). Compte tenu du fait que l’appelante a pu s’exprimer de manière complète devant le juge de céans, qui dispose d’un plein pouvoir d’examen en fait comme en droit, le vice peut être guéri par l’examen, en instance d’appel, des questions soulevées.</w:t>
      </w:r>
    </w:p>
    <w:p>
      <w:r>
        <w:rPr>
          <w:b/>
        </w:rPr>
        <w:t>E. 4</w:t>
      </w:r>
    </w:p>
    <w:p>
      <w:r>
        <w:t>a) A teneur de l’art. 85a LP, le débiteur poursuivi peut agir en tout temps au for de la poursuite pour faire constater que la dette n’existe pas ou plus ou qu’un sursis a été accordé (al. 1). S'il admet la demande, le tribunal ordonne l'annulation ou la suspension de la poursuite (al. 3).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ni prouver par titre l’extinction de sa dette, afin de lui épargner la voie de l’action en répétition de l’indu (ATF 125 III 149 c. 2c, JdT 1999 II 67; TF 5A_473/2012 du 17 août 2012 c. 1.1; TF 5A_712/2008 du 2 décembre 2008 c. 2.2; TF 5P.69/2003 du 4 avril 2003 c. 5.3.1). Cette action a une double nature. D'une part, à l’instar de l’action en libération de dette (cf. art. 83 al. 2 LP),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 1.1, JT 2010 I 244 ; ATF 125 III 149 c. 2c, JT 1999 Il 67; Schmidt, in Commentaire romand, Poursuite et faillite, Bâle 2005, n. 2 ad art. 85a LP). Dans l’action en annulation de la poursuite de l’art. 85a LP, comme dans l’action en libération de dette, c’est au créancier et défendeur qu’il incombe d’établir sa prétention (TF 4A_96/2012 du 7 mai 2012 c. 4; ATF 119 Il 305; Gilliéron, Commentaire de la loi fédérale sur la poursuite pour dettes et la faillite, Articles 1-88, Lausanne 1999, n. 37 ad art. 85a LP; Bodmer/Bangert, Basler Kommentar, SchKG I, Bâle 2010, n. 23 ad art. 86 LP; Schmidt, op. cit., n. 3 ad art. 86 LP). Plus précisément, le défendeur doit prouver les faits générateurs, ou constitutifs, à savoir les faits dont il déduit l’existence de la créance; en revanche, les faits destructeurs ou modificateurs, à savoir les faits qui entraînent l’extinction ou la modification de la créance, qu’invoque le poursuivi et demandeur doivent être prouvés par ce dernier (Gilliéron, op. cit., nn. 37 et 38 ad art. 85a LP). L'action en annulation ou en suspension de la poursuite n'est ouverte que si la poursuite est pendante: il s'agit là d'une condition de recevabilité de l'action (TF 5A_712/2008 du 2 décembre 2008 c. 2.1; ATF 127 I 41 c. 4c, JT 2000 Il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après le retrait de la poursuite (ATF 127 III 41 c. 4c-d, JT 2000 Il 98; Juge délégué CACI 21 mars 2012/141 précité, c. 3d). b) aa)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op. cit., n. 7 ad art. 85a LP), lequel annulera la poursuite si la créance est inexistante et la suspendra si un sursis a été octroyé (Juge délégué CACI 21 mars 2012/141 précité c. 3c). bb)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précité c. 3d; CCiv 14 février 2008/27, c. la; Reeb, La suspension provisoire de la poursuite selon l’art. 85a al. 2 LP, in Schuldbetreibung und Konkurs im Wandel, Festschrift 75 Jahre Konferenz der Betreibungs- und Konkursbeamten der Schweiz, pp. 273 ss, p. 277; Gilliéron, op. cit., n. 73 ad art. 85a LP; dans le même sens TF 5P.69/2003 du 4 avril 2003 c. 5.3).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 il faut bien davantage que les chances de succès du requérant (débiteur poursuivi) apparaissent nettement meilleures que celles de sa partie adverse (créancier poursuivant) ou, du moins, très bonnes et que le juge, après un examen prima facie , incline à partager le point de vue du requérant (Schmidt, op. cit., n. 9 ad art. 85a LP; Brönnimann, Zur Klage nach Art. 85a SchKG ("Negative Feststellungsklage"), AJP/PJA 1996 pp. 1394 ss, spéc. 1398; Tenchio, op. cit., pp. 167-170). Ainsi, le degré de preuve requis doit dépasser la simple vraisemblance, sans pour autant que la certitude soit exigée (Gilliéron, op. cit., n. 71 ad art. 85a LP ; Juge délégué CACI 21 mars 2012/141 précité c. 3e). cc) La suspension provisoire de la poursuite au sens de l’art. 85a al. 2 LP constitue une mesure qui peut être ordonnée dans le cadre de mesures provisionnelles (Reeb, op. cit., p. 277 ; Juge délégué CACI 21 mars 2012/141 précité c. 3c). Depuis l’entrée en vigueur, le 1 er janvier 2011, du Code de procédure civile suisse, les mesures provisionnelles sont régies par le droit fédéral. Pour en bénéficier, le requérant doit rendre vraisemblable qu’une prétention dont il est titulaire est l’objet d’une atteinte illicite ou risque de l’être (art. 261 al. 1 let. a CPC) et que cette atteinte risque de lui causer un préjudice difficilement réparable (art. 261 al. 1 let. b CPC). Le motif qui justifie la mesure requise doit être examiné en premier lieu; il faut une mise en danger ou une violation effective d’une prétention risquant de causer à son titulaire un préjudice difficilement réparable et impliquant une urgence temporelle. Le préjudice envisagé doit être objectivement vraisemblable, une erreur d’appréciation n’étant pas totalement exclue. Par préjudice, on entend par exemple l’atteinte à l’exercice de droits absolus. Peu importe que l’atteinte puisse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 respectivement hautement vraisemblable dans le cadre d’une requête tendant à la suspension provisoire de la poursuite selon l’art. 85a al. 2 LP – la légitimité de sa demande principale (Message du Conseil fédéral relatif au code de procédure civile suisse, FF 2006, p. 6841 ss, spéc. 6961 ; Bohnet, CPC commenté, n. 7 ad art. 261 CPC, p. 1019). c) En l'espèce, l'intimée a déposé une action en constatation de l’inexistence de sa créance le 19 juin 2012. Il est en outre établi qu'elle a formé opposition au commandement de payer n° 5711682 de l’Office des poursuites du district de Lausanne et que le juge de paix a prononcé la mainlevée provisoire de cette opposition le 1 er septembre 2011, à concurrence de 710'000 fr. plus intérêts au taux de 4% l’an dès le 1 er janvier 2011 et de 8’768 fr. 90 sans intérêt. La poursuite a suivi son cours et est actuellement pendante. Ainsi, les conditions de recevabilité des conclusions en constatation de l’inexistence de la créance et en annulation de la poursuite sont très vraisemblablement réalisées, ce qui n’est pas contesté, les griefs de l’appelante portant sur la réalisation des conditions matérielles de la requête de mesures provisionnelles.</w:t>
      </w:r>
    </w:p>
    <w:p>
      <w:r>
        <w:rPr>
          <w:b/>
        </w:rPr>
        <w:t>E. 5</w:t>
      </w:r>
    </w:p>
    <w:p>
      <w:r>
        <w:t>a) Dans un premier moyen, l'appelante soutient que l’intimée ne saurait invoquer la nullité pour vice de forme du cautionnement sans contrevenir aux règles de la bonne foi et à l’interdiction de l’abus de droit (art. 2 CC [Code civil suisse du 10 décembre 1907, RS 210]). Elle relève que l'intimée a écrit, dans un courrier du 2 mai 2012, que la validité du cautionnement était douteuse, raison pour laquelle elle souhaitait que lui soient adressées les décisions de justice rendues à cet égard. Dans un courrier à l'office des poursuites du 5 juin 2012, elle a toutefois indiqué – sans aucune réserve – que les ventes immobilières pourraient se faire aux montants discutés lors de la séance du 16 mai 2012 et que les prix de vente seraient affectés en priorité au paiement des dettes hypothécaires contractées auprès de l'appelante et "en paiement du cautionnement dû conjointement et solidairement à cette banque par les époux." Puis, le 11 juin 2012, l'intimée a invoqué le vice de forme et requis le retrait de la poursuite. b) Selon l’art. 493 CO (Code des obligations du 30 mars 1911, RS 220), la validité du cautionnement est subordonnée à la déclaration écrite de la caution et à l’indication numérique, dans l’acte même, du montant total à concurrence duquel la caution est tenue (al. 1) ; lorsque la caution est une personne physique et que le cautionnement dépasse la somme de 2'000 fr., la déclaration de cautionnement doit en outre revêtir la forme authentique conformément aux règles en vigueur au lieu où l’acte est dressé (al. 2, 1 re phrase). Sont soumis aux mêmes conditions de forme que le cautionnement le pouvoir spécial de cautionner et la promesse de cautionner l’autre partie ou un tiers (al. 6, 1 re phrase). La validité d’une procuration n’est en principe soumise à aucune exigence de forme. L’art. 493 al. 6, 1 re phrase CO apporte une exception à la règle ordinaire, en exigeant que le pouvoir de cautionner respecte les mêmes conditions de forme que l’acte à souscrire, sous peine de nullité. La loi cherche à empêcher que les règles strictes en matière de forme ne soient éludées par l’octroi de pouvoirs de représentation (Meier, Commentaire romand, Code des obligations I, n. 16 ad art. 493 CO). Selon l’article 47 LNo (Loi sur le notariat du 29 juin 2004, RSV 178.11), les actes notariés répondant aux exigences de validité de la présente loi sont des actes authentiques (al. 1), un acte notarié n’étant valablement instrumenté que par le notaire personnellement (al. 2). Si les cantons déterminent les modalités de la forme authentique (art. 55 al. 1 Tit. fin. CC), la notion même de forme authentique et les conditions minimales auxquelles elle doit satisfaire relèvent du droit fédéral, ces conditions résultant du but que le droit matériel fédéral assigne à la forme authentique (ATF 125 III 131). Lorsqu’il exige qu’un acte soit passé en la forme authentique, le droit fédéral cherche à préserver les parties de décisions irréfléchies, à leur faire prendre conscience de la portée de leurs engagements et à assurer une expression claire et complète de leur volonté (ATF 90 Il 274 c. 6, JT 1965 I 234). Le législateur a voulu inciter la caution à la réflexion et à la prise de conscience de ses engagements, pour éviter des cautionnements inconsidérés (Meier, op. cit., n. 16 ad art. 493 CO). Dans l'arrêt précité n° 134 du 9 mai 2012, la Cour des poursuites et faillites du Tribunal cantonal a rappelé que l’art. 493 al. 6 CO soumet à la forme authentique, par renvoi à l’art. 493 al. 1 CO, le pouvoir spécial de cautionner. Elle a ainsi considéré que, la procuration du 26 février 2009 signée par l'intimée n'ayant pas été établie en la forme authentique, mais seulement dans la forme écrite avec signature légalisée, son cautionnement était invalide (consid. IIc). Cet arrêt fait l'objet d'un recours au Tribunal fédéral, sur lequel il n'a pas encore été statué à ce jour. c)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 4C.33/2006 du 29 mars 2006 c. 3.2; ATF 129 III 493 c. 5.1, JT 2004 I 49). En principe, le non-respect d’une prescription de forme entraîne la nullité de l’acte juridique en cause. Toutefois, l’invocation d’un vice de forme peut exceptionnellement se heurter à un abus de droit (Pichonnaz/Foëx, Commentaire romand, Code civil I, n. 38 ad art 2 CC). Afin de déterminer si le moyen tiré d’un vice de forme constitue un abus de droit, le juge doit apprécier l’ensemble des circonstances du cas d’espèce. Parmi les circonstances pertinentes, le juge doit en particulier apprécier si la partie qui se prévaut de l’avis de droit a exécuté volontairement le contrat (Pichonnaz/Foëx, op. cit., n. 38 ad art. 2 CC). Selon la jurisprudence du Tribunal fédéral, il est déterminant de savoir si la partie qui se prévaut du vice de forme en avait connaissance au moment de la conclusion et de l’exécution du contrat. En effet, il ne suffit pas que le contrat ait été volontairement exécuté de part et d’autre: il faut qu’il ait été exécuté en connaissance de cause. Il s’ensuit que la partie qui se prévaut du vice de forme n’abuse pas de son droit lorsqu’elle a conclu et exécuté le contrat dans l’ignorance du vice de forme. Dans cette éventualité, la partie en question n’adopte pas une attitude contradictoire. Elle peut donc par la suite se prévaloir de la nullité (SJ 2002 I 405). Dans un arrêt plus récent (ATF 138 III 123), le Tribunal fédéral a également jugé qu’il fallait tenir compte du but de protection lié à l’exigence formelle d’un acte dont une partie se prévaut de la nullité. Il est également admis par la doctrine que la caution qui invoque la nullité de l’acte ne commet pas un abus de droit, sauf lorsqu’elle a provoqué elle-même cette nullité volontairement ou lorsqu’elle a payé en toute connaissance de cause (Tercier, les contrats spéciaux, 2009, n. 6883 p. 1040). Le fardeau de la preuve de l’abus de droit incombe à la partie qui s’en prévaut (SJ 2002 I 405). d) En l'espèce, l’intimée a rendu hautement vraisemblable que les conditions très restrictives posées par la jurisprudence et la doctrine pour admettre l’existence d’un abus de droit dans l’invocation d’un vice de forme ne sont pas réalisées. D'abord, l’intimée n’a jamais exécuté le cautionnement. Ensuite, elle a formé opposition aux procédures de poursuite. Les seules démarches envisagées – soit la vente des immeubles saisis – l’ont été dans le cadre de procédures d’exécution forcée, de sorte qu’elles ne sauraient être considérées comme étant volontaires. Jusqu’au 9 juin 2012, date à laquelle elle soutient avoir eu connaissance de l’arrêt rendu le 9 mai 2012 par la Cour des poursuites et faillites du Tribunal cantonal dans le cadre des procédures intentées par l’appelante contre D.________, avec lequel elle est en instance de divorce, l’intimée ignorait l’existence du vice de forme. Enfin, c’est à tort que l’appelante fait référence à la formation universitaire de l’intimée, qui est médecin, d’autant plus que ni l’appelante, pour laquelle l’obtention d’un cautionnement est un acte usuel, ni le notaire instrumentateur, dont c’est le métier, ne se sont rendus compte du vice de forme affectant le cautionnement. Ainsi, l’intimée a satisfait à la condition posée par l'art. 85a al. 2 LP en rendant très vraisemblable le bien-fondé de son action, à savoir que le cautionnement est nul pour vice de forme et que les circonstances ne permettent pas de retenir l’existence d’un abus de droit dans l’invocation de ce vice de forme.</w:t>
      </w:r>
    </w:p>
    <w:p>
      <w:r>
        <w:rPr>
          <w:b/>
        </w:rPr>
        <w:t>E. 6</w:t>
      </w:r>
    </w:p>
    <w:p>
      <w:r>
        <w:t>a) Dans un deuxième moyen, l'appelante soutient qu'il convient également de déterminer si les engagements de l’intimée pris en juin 2012, après que son conseil eut mis en doute la validité du cautionnement, valent reconnaissance de dette et empêchent ainsi de retenir que le moyen invoqué par l’intimée est « très vraisemblablement fondé ». A cet égard, l’appelante soutient que la loi n’interdit pas à l’administratrice et actionnaire d’une société de prendre un engagement principal et inconditionnel de régler la dette de la société tombée en faillite, par une déclaration en la forme écrite et postérieure à la faillite, et qu’il ne s’agit plus d’un cautionnement, mais d’un engagement principal, qui doit répondre aux conditions du seul art. 17 CO. b) A teneur de cette disposition, la reconnaissance d’une dette est valable, même si elle n’énonce pas la cause de l’obligation. Cela étant, même en présence d’une reconnaissance de dette, le débiteur est libre de soulever toutes les objections et exceptions qui affectent la dette reconnue ; en d’autres termes, la reconnaissance ne crée pas de dette nouvelle, correspondant aux termes de la promesse du débiteur, qui serait indépendante (ou « abstraite ») de l’obligation reconnue (Tevini Du Pasquier, Commentaire romand, Code des obligations, n. 7 ad art. 17 CO). Selon la doctrine, cette « dette nouvelle » dépend de la validité de la dette reconnue ; le débiteur peut apporter la preuve du caractère non obligatoire de sa promesse lorsque la dette reconnue n’est pas valable, et se prévaloir de toutes les objections et exceptions affectant l’obligation « originaire » (Tevini Du Pasquier, op. cit., n. 9 ad art. 17 CO et réf. citées). Il découle de ce qui précède que, sur la base d’un examen prima facie , il n’apparaît pas qu’une éventuelle reconnaissance par l’intimée de la dette résultant du cautionnement puisse guérir le vice initial du cautionnement.</w:t>
      </w:r>
    </w:p>
    <w:p>
      <w:r>
        <w:rPr>
          <w:b/>
        </w:rPr>
        <w:t>E. 7</w:t>
      </w:r>
    </w:p>
    <w:p>
      <w:r>
        <w:t>a) L'appelante soutient, enfin, que la condition de l’urgence de la suspension provisoire requise, telle qu’elle découle du but de l’art. 85a al. 2 LP ainsi que de l’art. 261 CPC, n'est pas réalisée. Elle fait valoir que la procédure de réalisation est celle de l'ordonnance du Tribunal fédéral du 17 janvier 1023 concernant la saisie et la réalisation de parts de communauté (OPC, RS 281.41). Celle-ci prévoit des pourparlers de conciliation (art. 9), suivis de l’interpellation des créanciers saisissants, du débiteur et des membres de la communauté, puis la transmission du dossier à l’autorité de surveillance, qui est chargée de décider si la part de communauté saisie doit être vendue aux enchères comme telle ou s’il y a lieu de procéder à la dissolution de la communauté et à la liquidation du patrimoine commun, conformément aux dispositions qui régissent la communauté dont il s’agit (art. 10). Selon l’appelante, on serait loin de la réalisation : la procédure de conciliation a été initiée, une séance a été tenue et doit éventuellement reprendre, dès lors que les parties étaient invitées à «faire d’autres propositions en vue de mesures ultérieures de réalisation». Le 5 juin 2012, l'intimée a informé l’Office des poursuites du district de Lausanne que les ventes immobilières "pourraient se faire selon les offres présentées". b) Comme l’a relevé à juste titre le premier juge, la procédure en annulation de la poursuite ouverte devant la Chambre patrimoniale cantonale par demande du 19 juin 2012 risque de durer un certain temps – étant observé qu’à ce jour, l’appelante n’a toujours pas déposé sa réponse –, si bien que l’on ne peut exclure que l’avancement de la procédure de l’Office des poursuites aboutisse entre-temps à la vente de certains des biens de l’intimée, ce qui serait de nature à lui causer un préjudice difficilement réparable même si elle obtenait gain de cause sur le fond. La condition posée par l'art. 261 al. 1 let. b CPC est donc également réalisée.</w:t>
      </w:r>
    </w:p>
    <w:p>
      <w:r>
        <w:rPr>
          <w:b/>
        </w:rPr>
        <w:t>E. 8</w:t>
      </w:r>
    </w:p>
    <w:p>
      <w:r>
        <w:t>Au vu de ce qui précède, c’est à bon droit que le premier juge a fait droit à la requête de mesures provisionnelles de l'intimée du 19 juin 2012 et ordonné la suspension provisoire de la poursuite n° 5711682 de l’Office des poursuites du district de Lausanne. Partant, l’appel, mal fondé, doit être rejeté et l’ordonnance attaquée confirmée. Les frais judiciaires de deuxième instance, arrêtés à 800 fr. (art. 65 al. 1 TFJC [Tarif des frais judiciaires civils du 28 septembre 2010, RSV 270.11.5]), seront mis à la charge de l'appelante qui succombe (art. 106 al. 1 CPC). Obtenant gain de cause, l'intimée a droit à des dépens de deuxième instance, fixés à 1'200 francs. Par ces motifs, le juge délégué de la Cour d’appel civile du Tribunal cantonal, statuant à huis clos, prononce : I. L’appel est rejeté. II. L'ordonnance est confirmée. III. Les frais judiciaires de deuxième instance, arrêtés à 800 fr. (huit cents francs), sont mis à la charge de l'appelante P.________SA. IV. L'appelante P.________SA versera à l'intimée H.________ une indemnité de 1'200 fr. (mille deux cents francs) à titre de dépens de deuxième instance. V. L'arrêt motivé est exécutoire. Le juge délégué : La greffière : Du 6 mars 2013 Le dispositif de l'arrêt qui précède est communiqué par écrit aux intéressés. La greffière : Du 6 mars 2013 L'arrêt qui précède, dont la rédaction a été approuvée à huis clos, est notifié en expédition complète, par l'envoi de photocopies à : ‑ Me Philippe Reymond (pour P.________SA), ‑ Me Alain Dubuis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