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118 vom 21. Februar 2013</w:t>
      </w:r>
    </w:p>
    <w:p>
      <w:r>
        <w:t>VD Tribunal cantonal, 2013-02-21, FR</w:t>
      </w:r>
    </w:p>
    <w:p>
      <w:r>
        <w:rPr>
          <w:b/>
        </w:rPr>
        <w:t xml:space="preserve">Quelle: </w:t>
      </w:r>
      <w:r>
        <w:t>https://mcp.opencaselaw.ch/entscheid/vd_findinfo_HC___2013___118</w:t>
      </w:r>
    </w:p>
    <w:p>
      <w:r>
        <w:t>FR: VD_FINDINFO HC / 2013 / 118 du 21 février 2013</w:t>
      </w:r>
    </w:p>
    <w:p>
      <w:r>
        <w:t>IT: VD_FINDINFO HC / 2013 / 118 del 21 febbraio 2013</w:t>
      </w:r>
    </w:p>
    <w:p>
      <w:pPr>
        <w:pStyle w:val="Heading2"/>
      </w:pPr>
      <w:r>
        <w:t>Regeste</w:t>
      </w:r>
    </w:p>
    <w:p>
      <w:r>
        <w:t>RÉSILIATION, BAIL À LOYER, PAIEMENT DE L'ARRIÉRÉ | 257d CO</w:t>
      </w:r>
    </w:p>
    <w:p>
      <w:pPr>
        <w:pStyle w:val="Heading2"/>
      </w:pPr>
      <w:r>
        <w:t>Erwägungen</w:t>
      </w:r>
    </w:p>
    <w:p>
      <w:r>
        <w:rPr>
          <w:b/>
        </w:rPr>
        <w:t>E. 1</w:t>
      </w:r>
    </w:p>
    <w:p>
      <w:r>
        <w:t>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frais de chauffage et d'eau inclus, à 475 fr., et il ressort des motifs exposés par l'appelant que celui-ci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30 décembre 2012, soit en temps utile,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trois nouvelles pièces qui sont recevables puisque postérieures à l'audience du 7 décembre 2012 du Juge de paix.</w:t>
      </w:r>
    </w:p>
    <w:p>
      <w:r>
        <w:rPr>
          <w:b/>
        </w:rPr>
        <w:t>E. 3</w:t>
      </w:r>
    </w:p>
    <w:p>
      <w:r>
        <w:t>a) L'appelant fait valoir qu'il a réussi à ce jour à régler ses arriérés de loyer et qu'il a même payé d'avance les loyers afférents au premier trimestre de l'année 2013. Il expose également le besoin de conserver cet appartement qui constitue un outil de travail primordial puisqu'il s'agit de l'un des quatre studios dans lesquels il loge des étudiants étrangers inscrits à [...], institution dont il est l'administrateur.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 ne conteste pas avoir été en retard dans le paiement du loyer. Le délai de trente jours imparti par courrier du 13 juillet 2012 a commencé à courir le 18 juillet 2012, soit le lendemain de la date à laquelle il a retiré le pli à la poste. Ce délai est arrivé à échéance le 18 août 2012 (77 al. 1 ch. 1 CO), sans que l'appelant n'ait établi avoir payé l'entier de l'arriéré réclamé à cette date (art. 77 al. 3 CO). L'intimée était dès lors autorisée, en application de l'art. 257d CO, à résilier le bail en cause moyennant un délai de trente jours, ce qu'elle a valablement fait par formule officielle du 21 août 2012 pour le 30 septembre 2012. Par ailleurs, l'expulsion a été requise le</w:t>
      </w:r>
    </w:p>
    <w:p>
      <w:r>
        <w:rPr>
          <w:b/>
        </w:rPr>
        <w:t>E. 8</w:t>
      </w:r>
    </w:p>
    <w:p>
      <w:r>
        <w:t>octobre 2012, soit après l'expiration du bail (Lachat, op. cit., note infrapaginale 88, p. 816). Vu la règle de l'art. 257d CO, il est sans importance que l'appelant ait finalement réglé son arriéré de loyer le 14 septembre 2012 et qu'il ait payé d'avance les loyers afférents au premier trimestre 2013. Enfin, les motifs de gestion invoqués par l'appelant, en particulier le fait qu'une telle expulsion aurait un effet déstabilisateur sur la marche de ses affaires, ne sauraient être pris en considération dans le cadre de l'examen des conditions de l'art. 257d CO. Ces motifs pourront tout au plus être pris en compte au stade de l'exécution forcée de la décision et pour autant que l'on reste dans le cadre restrictif fixé par la jurisprudence précitée.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d'une part l'appelant ne prétend pas que le congé donné le 21 août 2012 serait abusif, et d'autre part il n'apparaît pas que tel serait le cas au regard des principes jurisprudentiels rappelés ci-dessus. Dès lors, le congé donné par la bailleresse au locataire n'est pas annulable au sens de l'art. 271 al. 1 CO et est bel et bien valable. 4. En conclusion, l'appel doit être rejeté en application de l'art. 312 al. 1 CPC et l'ordonnance confirmée. Vu l'effet suspensif accordé à l'appel de par la loi (art. 315 al. 1 CPC), la cause doit être renvoyée au premier juge afin qu'il fixe à l'appelant, une fois les considérant écrits du présent arrêt envoyés pour notification aux parties, un nouveau délai pour libérer les locaux en cause. Les frais judiciaires de deuxième instance, arrêtés à 100 fr. (art. 62 al. 3 et 69 al. 1 TFJC [tarif du 28 septembre 2010 des frais judiciaires civils; RSV 270.11.5]), sont mis à la charge de l'appelant (art. 106 al. 1 CPC). Il n’y a pas lieu d’allouer de dépens, dès lors que l’intimée n'a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