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117 vom 6. Februar 2013</w:t>
      </w:r>
    </w:p>
    <w:p>
      <w:r>
        <w:t>VD Tribunal cantonal, 2013-02-06, FR</w:t>
      </w:r>
    </w:p>
    <w:p>
      <w:r>
        <w:rPr>
          <w:b/>
        </w:rPr>
        <w:t xml:space="preserve">Quelle: </w:t>
      </w:r>
      <w:r>
        <w:t>https://mcp.opencaselaw.ch/entscheid/vd_findinfo_HC___2013___117</w:t>
      </w:r>
    </w:p>
    <w:p>
      <w:r>
        <w:t>FR: VD_FINDINFO HC / 2013 / 117 du 6 février 2013</w:t>
      </w:r>
    </w:p>
    <w:p>
      <w:r>
        <w:t>IT: VD_FINDINFO HC / 2013 / 117 del 6 febbraio 2013</w:t>
      </w:r>
    </w:p>
    <w:p>
      <w:pPr>
        <w:pStyle w:val="Heading2"/>
      </w:pPr>
      <w:r>
        <w:t>Regeste</w:t>
      </w:r>
    </w:p>
    <w:p>
      <w:r>
        <w:t>SUSPENSION DE LA PROCÉDURE | 123 CPC (CH)</w:t>
      </w:r>
    </w:p>
    <w:p>
      <w:pPr>
        <w:pStyle w:val="Heading2"/>
      </w:pPr>
      <w:r>
        <w:t>Erwägungen</w:t>
      </w:r>
    </w:p>
    <w:p>
      <w:r>
        <w:rPr>
          <w:b/>
        </w:rPr>
        <w:t>E. 1</w:t>
      </w:r>
    </w:p>
    <w:p>
      <w:r>
        <w:t>a) Compte tenu du moment de la communication de la décision attaquée, le recours est régi par le nouveau droit (art. 405 al. 1 CPC [Code de procédure civile du 19 décembre 2010; RS 272]). En revanche, dès lors que la procédure au fond était en cours au 1 er janvier 2011, le droit contrôlé est l’ancien droit de procédure, applicable jusqu’à la clôture de l’instance (art. 404 al. 1 CPC; Tappy, JT 2010 III 18 et 38). b) L'ordonnance de suspension peut faire l'objet d'un recours en vertu de l'art. 126 al. 2 CPC, de sorte que la voie du recours de l'art. 319 let. b ch. 1 CPC est ouverte. Les ordonnances de suspension devant être considérées comme des décisions d'instruction (Jeandin, CPC commenté, Bâle 2011, n. 18 ad art. 319 CPC, p. 1273; CREC 9 mars 2012/97), le recours, écrit et motivé, doit être introduit auprès de l'instance de recours dans un délai de dix jours (art. 321 al. 1 et 2 CPC). En l'espèce, formé en temps utile par une partie qui y a un intérêt digne de protection (art. 59 al. 2 let. a CPC), le présent recours est recevable.</w:t>
      </w:r>
    </w:p>
    <w:p>
      <w:r>
        <w:rPr>
          <w:b/>
        </w:rPr>
        <w:t>E. 2</w:t>
      </w:r>
    </w:p>
    <w:p>
      <w:r>
        <w:t>L'autorité de recours dispose d'un plein pouvoir d'examen s'agissant de la violation du droit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comme pour l'art. 97 al. 1 LTF (loi du 17 juin 2005 sur le Tribunal fédéral; RS 173.110), ce grief ne permet que de corriger une erreur évidente, la notion se recoupant en définitive avec l'appréciation arbitraire des preuves (Jeandin, op. cit.,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invoque une violation de l’art. 123 CPC-VD (Code de procédure civile vaudoise du 14 décembre 1966). Elle reproche au premier juge d’avoir ordonné la suspension de cause en modification de jugement de divorce alors qu’aucun état de nécessité ne le commandait et d'avoir accordé une suspension d'une durée indéterminée, ce qui crée une incertitude juridique inacceptable. Elle soutient que si l'intérêt des enfants a justifié une suspension de cause en juin 2010 et juin 2011, cela n'est plus le cas aujourd'hui dès lors que les circonstances ne sont plus les mêmes qu'au début de l'année 2010, que les enfants ont été soignés et stabilisés dans le cadre de leur placement en institution et qu'ils ont besoin de connaître chez lequel de leur parent ils iront lorsqu'ils sortiront du foyer. A cet égard, la recourante considère que le premier juge aurait dû recueillir un rapport du SPJ sur la situation actuelle et objective des enfants afin d'assurer ainsi une coordination avec la mesure de surveillance judiciaire instaurée. Elle allègue aussi que les procédures pendantes devant le Juge de paix et le Président du Tribunal civil de l'arrondissement de l'Est vaudois concernent deux objets distincts, à savoir respectivement la protection des enfants et la modification du droit de garde et de l'autorité parentale, de sorte qu'il n'existe aucun risque de jugements contradictoires. Enfin, elle fait valoir que les faits allégués par l'intimé dans sa demande du 7 mai 2010 ne sont plus d'actualité et n'ont plus aucune portée procédurale. b) Selon l’art. 123 al. 1 CPC-VD, le juge peut suspendre l’instruction d’un procès pour un temps déterminé en cas de nécessité. La jurisprudence prescrit d’interpréter la condition de nécessité posée par cette disposition de manière restrictive; la suspension est en effet un acte grave et exceptionnel qui exige la réalisation effective d’un état de nécessité (JT 2002 III 186 c. 2; JT 1993 II c. 3a; JT 1984 III 11 c. 2a). En particulier, la suspension se justifie lorsque le sort du procès peut dépendre de l’issue d’une autre procédure, qu'elle soit civile, pénale (cas visé par l’art. 124 CPC-VD) ou administrative, sans qu’il y ait lieu pour autant à litispendance, de manière à éviter le risque de jugements même indirectement contradictoires (Poudret/HaldylTappy, Procédure civile vaudoise, 3e éd., Lausanne 2002, n. 3 et 4 ad art. 123 CPC-VD). La connexité entre deux actions ne suffit pas en soi à justifier la suspension de l’un des procès (JT 1984 III 11 c. 2b; JT 1969 III 113; JT 1967 III 113; Reymond, L’exception de litispendance, thèse Lausanne 1991, pp. 207 ss). En outre, la suspension peut entrer en conflit avec le droit des parties d’obtenir un jugement dans un délai raisonnable (ATF 120 III 143; ATF 119 lI 386 c. 1b). Le principe de la célérité pose ainsi les limites à la suspension de la procédure jusqu’à droit connu sur le sort d’une procédure parallèle de sorte que la suspension ne doit être admise qu’exceptionnellement pour ce motif également (SJ 2004 I 146). c) En l’espèce, la requête de suspension de la demande en modification de jugement de divorce est fondée directement sur le placement des enfants des parties en foyer et indirectement sur la procédure de mesure de surveillance judiciaire à forme de l’art. 307 CC instaurée le 14 mai 2009 par le Juge de paix, ayant conduit au placement des enfants. Recueillir l'avis du SPJ quant à la situation actuelle des enfants aurait certes été utile comme le soutient la recourante, mais il ne s’agissait pas d’une condition nécessaire à l'examen de la requête de suspension de la procédure de la demande en modification de jugement de divorce. En effet, d'une part, seule la demande introductive d’action du 7 mai 2010 a été déposée; d'autre part, les deux parties admettent que la situation des enfants a notablement changé depuis la première suspension conventionnelle en juin 2010 et que les faits allégués dans la demande de modification de jugement de divorce ne sont plus d'actualité. Dans ces conditions et dans l'intérêt des enfants qui doivent connaître leur sort sans que cela ne prolonge inutilement leur placement, l'échange d'écritures de la demande en modification du droit de garde et de visite doit se poursuivre sans délai, à savoir que la défenderesse au fond doit déposer une réponse à la demande de son époux du 7 mai 2010. Un second échange d'écritures pourra être envisagé si une décision est prise entre-temps par le Juge de paix concernant les enfants. Les moyens de la recourante sont fondés.</w:t>
      </w:r>
    </w:p>
    <w:p>
      <w:r>
        <w:rPr>
          <w:b/>
        </w:rPr>
        <w:t>E. 4</w:t>
      </w:r>
    </w:p>
    <w:p>
      <w:r>
        <w:t>Il s'ensuit que le recours doit être admis et la décision attaquée réformée en ce sens que la requête en suspension de cause du 8 novembre 2012 déposée par A.S.________ est rejetée, les frais de première instance par 400 fr. laissés à la charge de celui-ci, des dépens de première instance par 1'000 fr. alloués à J.________ et toutes autres ou plus amples conclusions rejetées. Les frais judiciaires de deuxième instance sont arrêtés à 300 fr. (art. 71 al. 1 TFJC [tarif des frais judiciaires civils du 28 septembre 2010; RSV 270.11.5]) et mis à la charge de l'intimé, qui succombe (art. 106 al. 1 CPC). Ayant procédé seule sans l'assistance d'un mandataire professionnel, la recourante n'a pas droit à des dépens. Sa requête d'assistance judiciaire est dès lors sans objet. Par ces motifs, la Chambre des recours civile du Tribunal cantonal, statuant à huis clos, prononce : I. Le recours est admis. II. Le jugement incident rendu le 12 décembre 2012 par le Président du Tribunal civil de l'arrondissement de l'Est vaudois est réformé comme il suit : I. rejette la requête en suspension de cause du 8 novembre 2012 déposée par A.S.________; II. supprimé; III. met les frais judiciaires de la procédure incidente, par 400 fr. (quatre cents francs), à la charge de A.S.________; IV. dit que A.S.________ est le débiteur d'J.________ de la somme de 1'000 fr. (mille francs) à titre de dépens. V. supprimé. VI. rejette toutes autres ou plus amples conclusions. III. Les frais judiciaires de deuxième instance, arrêtés à 300 fr. (trois cents francs), sont mis à la charge de l'intimé A.S.________. IV. La requête d'assistance judiciaire déposée par J.________ est sans objet. V. L'arrêt motivé est exécutoire. Le président :               La greffière : Du</w:t>
      </w:r>
    </w:p>
    <w:p>
      <w:r>
        <w:rPr>
          <w:b/>
        </w:rPr>
        <w:t>E. 7</w:t>
      </w:r>
    </w:p>
    <w:p>
      <w:r>
        <w:t>février 2013 Le dispositif de l'arrêt qui précède est communiqué par écrit aux intéressés. La greffière : Du L'arrêt qui précède, dont la rédaction a été approuvée à huis clos, est notifié en expédition complète, par l'envoi de photocopies, à : ‑ J.________ ‑ Me Lise-Marie Gonzalez Pennec (pour A.S.________)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