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112 vom 9. Januar 2013</w:t>
      </w:r>
    </w:p>
    <w:p>
      <w:r>
        <w:t>VD Tribunal cantonal, 2013-01-09, FR</w:t>
      </w:r>
    </w:p>
    <w:p>
      <w:r>
        <w:rPr>
          <w:b/>
        </w:rPr>
        <w:t xml:space="preserve">Quelle: </w:t>
      </w:r>
      <w:r>
        <w:t>https://mcp.opencaselaw.ch/entscheid/vd_findinfo_HC___2013___112</w:t>
      </w:r>
    </w:p>
    <w:p>
      <w:r>
        <w:t>FR: VD_FINDINFO HC / 2013 / 112 du 9 janvier 2013</w:t>
      </w:r>
    </w:p>
    <w:p>
      <w:r>
        <w:t>IT: VD_FINDINFO HC / 2013 / 112 del 9 gennaio 2013</w:t>
      </w:r>
    </w:p>
    <w:p>
      <w:pPr>
        <w:pStyle w:val="Heading2"/>
      </w:pPr>
      <w:r>
        <w:t>Regeste</w:t>
      </w:r>
    </w:p>
    <w:p>
      <w:r>
        <w:t>OBLIGATION D'ENTRETIEN, ENFANT, REVENU HYPOTHÉTIQUE | 285 al. 1 CC, 286 al. 1 CC</w:t>
      </w:r>
    </w:p>
    <w:p>
      <w:pPr>
        <w:pStyle w:val="Heading2"/>
      </w:pPr>
      <w:r>
        <w:t>Erwägungen</w:t>
      </w:r>
    </w:p>
    <w:p>
      <w:r>
        <w:rPr>
          <w:b/>
        </w:rPr>
        <w:t>E. 5</w:t>
      </w:r>
    </w:p>
    <w:p>
      <w:r>
        <w:t>T.I.________ n'exerce pas d'activité professionnelle. Elle s'est remariée avec F.I.________ et un enfant est issu de cette union. Les seuls revenus du ménage sont ceux du mari, par 3'526 fr. 74 net par mois et les allocations familiales, par 770 fr. par mois. En droit : 1. a) Le jugement attaqué a été communiqué aux parties le 20 juillet 2012, de sorte que les voies de droit sont régies par le CPC (Code de procédure civile suisse du 19 décembre 2008, RS 272), entré en vigueur le 1 er janvier 2011 (art. 405 CPC; ATF 137 III 127; ATF 137 III 130; Tappy, CPC commenté, Bâle 2011, nn. 5 et ss ad art. 405 CPC). b) 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Le délai d'appel est suspendu durant les féries judiciaires, en particulier du 15 juillet au 15 août inclus (art. 145 al. 1 let. b CPC). En l'espèce, seule est litigieuse la question de la contribution d'entretien due par l'appelant en faveur de ses enfants. Il s'agit dès lors d'une cause patrimoniale. Capitalisée conformément à l'art. 92 al. 2 CPC, la valeur litigieuse est supérieure à 10'000 fr., de sorte que la voie de l'appel est ouverte. Formé en temps utile (art. 311 al. 1 CPC), compte tenu de la suspension du délai d'appel durant les féries estivales, par une partie qui y a intérêt (art. 59 al. 2 let. a CPC) et comportant des conclusions qui ne sont pas nouvelles (art. 317 al. 2 CPC), l'appel est recevable à la forme. c) Dès lors que le présent procès était en cours au 1 er janvier 2011, le droit contrôlé est l'ancien droit de procédure, applicable jusqu'à la clôture de l'instance (art. 404 al. 1 CPC; Tappy, Le droit transitoire applicable lors de l'introduction de la nouvelle procédure civile unifiée, in JT 2010 III 11, pp. 18 et 38). 2. 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et note approbatrice de Tappy) considère qu'en appel les novas sont soumis au régime ordinaire (en ce sens Tappy, Les voies de droit du nouveau Code de procédure civile, JT 2010 III 115; Hohl, Procédure civile, Tome II, 2 e éd., 2010, n. 2410, p. 437). Le Tribunal fédéral a approuvé cette interprétation de la loi (ATF 138 III 625 c. 2.2). Des novas peuvent par ailleurs être en principe librement introduits dans les causes régies par la maxime inquisitoire illimitée, par exemple sur la situation des enfants mineurs en droit matrimonial (Tappy, op. cit., pp. 136-137; Jeandin, CPC commenté, n. 5 ad art. 296 CPC et les réf. citées). La maxime inquisitoire illimitée est applicable en l'espèce, s'agissant de contributions d'entretien pour des enfants mineurs. Cette maxime étant un principe relatif à l'établissement des faits (ATF 137 III 617 c. 5.2, SJ 2012 I 373)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5A_651/2011 du 26 avril 2012 c. 4.3.2 in fine). Les pièces produites par l'appelante sont recevables. L'était de fait du litige a été complété au moyen de celles-ci, dans la mesure utile à la solution du litige. Cela étant, il n'y a pas lieu de donner suite aux mesures d'instruction requises par l'appelante, le dossier étant suffisamment instruit pour permettre à la Cour de céans de statuer. 3. a) L'appelante soutient que l'intimé réalise un gain bien supérieur aux quelque 500 fr. par mois qu'il déclare. Elle relève que l'intimé n'a produit aucun élément récent permettant de retenir qu'il se trouverait en incapacité totale de travail. De plus, elle observe qu'en reconnaissant l'intimé inapte au travail dans son domaine d'activité habituel, soit la conduite-livraison, alors qu'il a précisément repris un emploi dans ce secteur, l'Office AI a sous-estimé sa capacité de travail. Pour l'appelante, il ne fait aucun doute que l'intimé devrait être en mesure de réaliser un revenu de l'ordre de 56'000 fr. par année, correspondant au revenu d'invalide tel qu'arrêté par l'Office AI, si bien qu'il y a lieu de lui imputer ce revenu hypothétique. En application du taux de 25 %, elle arrête le montant des contributions d'entretien due par l'intimé en faveur de ses filles à 580 fr. par enfant. b) Selon l'article 285 al. 1 CC (Code civil suisse du 10 décembre 1907, RS 210),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II 77 ss, spéc. pp. 107 et ss.; RSJ 1984 p. 392 n° 4 et note p. 393; Meier/Stettler, Droit de la filiation, 4 e éd., Zurich 2009, n. 978, pp. 567-568; TF 5A_84/2007 du 18 septembre 2007 c. 5.1). Il s'agit là d'un taux approximatif qui doit être pondéré au vu des circonstances, selon l'équité (ATF 107 II 406 c. 2c; RSJ 1984 p. 392 n° 4 précité; Meier/Stettler, ibidem). Ces critères sont applicables à tous les enfants mineurs, indépendamment de l'état civil de leurs parents (mariés ou non, séparés ou divorcés; cf. CREC lI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 cit.).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3b/aa et 3c; CREC II 22 octobre 2007/207 c. 5 et les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JT 2002 I 294;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En présence de capacités financières limitées, le minimum vital du débirentier au sens du droit des poursuites doit en principe être garanti (ATF 127 III 68, JT 2001 I 562 c. 2c). Lorsqu'un revenu hypothétique est admis, c'est au regard de ce revenu que l'on doit examiner si le minimum vital du débiteur est sauvegardé (ATF 123 III 1 c. 3, JT 1998 I 39). c) En l'espèce, le premier juge a considéré, à juste titre, que la situation de l'intimé s'était modifiée de manière durable depuis le jugement de divorce. En raison de problèmes de santé, l'intimé a perdu son emploi de chauffeur auprès de la Poste et ses revenus ont chuté, de sorte qu'il se justifiait d'entrer en matière sur la demande de modification de jugement de divorce afin de revoir les contributions d'entretien telles qu'elles avaient été arrêtées d'entente entre les parties par convention sur les effets accessoires du divorce. Cela étant, c'est à tort que le premier juge a estimé qu'il n'y avait pas lieu d'imputer un revenu hypothétique à l'intimé. D'après les constatations de l'Office AI, l'intimé est en mesure de travailler à plein temps dans une activité adaptée à ses limitations fonctionnelles, soit sans port de charges de plus de dix kilos et sans mouvements répétitifs des coudes et des avant-bras. Dans une telle activité, qui n'exige aucune formation particulière, l'intimé serait en mesure de réaliser un revenu de l'ordre de 56'000 fr. par an, ainsi que l'Office AI l'a retenu en se référant aux données statistiques, et de contribuer ainsi à l'entretien de ses enfants. Si l'intimé refuse de se réorienter et de rechercher un emploi adapté à sa situation, préférant continuer de travailler à un taux très réduit dans son ancienne activité, comme chauffeur-livreur, ses enfants n'ont pas à en pâtir. Au vu de la situation financière précaire des parties et du fait que l'entretien de deux enfants mineures est en jeu, on peut exiger de l'intimé qu'il trouve un emploi ne demandant pas de qualifications particulières et compatible avec son état de santé, de sorte qu'il se justifie de lui imputer un revenu hypothétique. On retiendra ainsi le revenu annuel de 56'000 fr. tel que déterminé par l'Office AI, soit 4'666 fr. par mois, ce d'autant que ce revenu tient compte d'un abattement de 10 % pour prendre en considération les limitations fonctionnelles de l'intimé. Cela étant, dès lors que l'intimé doit contribuer à l'entretien de deux enfants mineures, il convient de fixer la contribution d'entretien à 25 % du revenu de 4'666 fr., soit un montant arrondi de 580 fr. par enfant (4'666 fr. x 25 % / 2 = 583 fr.). Au demeurant, même si l'on devait retenir un revenu hypothétique un peu inférieur, de l'ordre de 4'000 fr. par mois pour tenir compte de ce que la possibilité de gain de l'intimé se situerait plutôt dans les bas salaires que dans les salaires moyens (cf. ATF 137 III 118 c. 3.1, JT 2011 II 486), la solution resterait la même. En effet, le pourcentage de 25 % du revenu du parent débirentier pour la fixation de la contribution d'entretien est admis pour des enfants en bas âge et des paliers sont généralement fixés à cinq ou sept ans et dix ou douze ans, ce dont le premier juge n'a pas tenu compte. En l'occurrence, dès lors que l'aînée a treize ans et la cadette aura douze ans cette année, il se justifierait de prévoir deux paliers de 50 fr. à tout le moins, si bien que la contribution d'entretien s'élèverait à 600 fr., selon le calcul suivant : 4'000 fr. x 25 % = 1'000 fr., soit un montant de 500 fr. par enfant, auquel il convient d'ajouter deux fois 50 fr., soit 600 francs. Il en résulte que l'appel est bien fondé. 4. a) Au vu de ce qui précède, l'appel doit être admis et la décision entreprise réformée en ce sens que la contribution d'entretien due par S.________ en faveur de chacune de ses filles est arrêtée à 580 fr. dès le 17 mars 2011, date retenue par le premier juge et non contestée par les parties. b) Vu l'issue du litige, l'allocation de dépens de première instance doit être revue. S'agissant d'une procédure ouverte avant le 1 er janvier 2011, les règles du CPC-VD (Code de procédure civile vaudoise du 14 décembre 1966) sont applicables (art. 404 al. 1 CPC).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e éd., Lausanne 2002, n. 3 ad art. 92 CPC-VD). En l'espèce, la contribution d'entretien passe de 700 fr. – correspondant au deuxième palier prévu par le jugement de divorce vu l'âge des enfants – à 580 francs. Le demandeur obtient ainsi gain de cause sur le principe, la défenderesse ayant conclu au rejet de la demande, mais n'obtient qu'une réduction de 120 fr., alors qu'il concluait à la suppression de toute contribution. Il y a dès lors lieu de compenser les dépens. c) Les frais judiciaires de deuxième instance, arrêtés à 600 fr. (art. 63 al. 1 TFJC [tarif des frais judiciaires civils du 28 septembre 2010, RSV 270.11.5]), seront laissés à la charge de l'Etat, l'intimé étant au bénéfice de l'assistance judiciaire. L'intimé ayant succombé, des dépens de deuxième instance, arrêtés à 2'000 fr., seront mis à sa charge en faveur de l'appelante (art. 122 al. 1 let. d CPC). d) Il y a lieu de fixer l'indemnité du conseil d'office de l'appelante, Me Lionel Zeiter, pour le cas où ces dépens ne pourraient pas être recouvrés. Cet avocat a indiqué avoir consacré onze heures de travail à la procédure d'appel, ce qui paraît quelque peu excessif compte tenu des opérations effectuées. Une indemnité d'honoraires correspondant à neuf heures de travail au tarif horaire de 180 fr. (art. 2 al. 1 let. a RAJ [règlement sur l'assistance judiciaire en matière civile du 7 décembre 2010, RSV 211.02.3]) paraît suffisante pour rémunérer convenablement le conseil d'office de l'appelante. L'indemnité d'office sera ainsi arrêtée à 1'771 fr. 20, TVA et débours compris (honoraires par 1'620 fr. + TVA par 129 fr. 60 + débours par 20 fr. + TVA par 1 fr. 60). Le conseil d'office de l'intimé, Me Marguerite Florio, a produit une liste de ses opérations, dont il ressort qu'elle a consacré deux heures à la procédure d'appel, ce qui paraît adéquat. L'indemnité d'office de Me Florio sera donc arrêtée à 442 fr. 80 TVA comprise, montant comprenant le remboursement effectif des débours, par 50 francs.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