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106 vom 7. Februar 2013</w:t>
      </w:r>
    </w:p>
    <w:p>
      <w:r>
        <w:t>VD Tribunal cantonal, 2013-02-07, FR</w:t>
      </w:r>
    </w:p>
    <w:p>
      <w:r>
        <w:rPr>
          <w:b/>
        </w:rPr>
        <w:t xml:space="preserve">Quelle: </w:t>
      </w:r>
      <w:r>
        <w:t>https://mcp.opencaselaw.ch/entscheid/vd_findinfo_HC___2013___106</w:t>
      </w:r>
    </w:p>
    <w:p>
      <w:r>
        <w:t>FR: VD_FINDINFO HC / 2013 / 106 du 7 février 2013</w:t>
      </w:r>
    </w:p>
    <w:p>
      <w:r>
        <w:t>IT: VD_FINDINFO HC / 2013 / 106 del 7 febbraio 2013</w:t>
      </w:r>
    </w:p>
    <w:p>
      <w:pPr>
        <w:pStyle w:val="Heading2"/>
      </w:pPr>
      <w:r>
        <w:t>Regeste</w:t>
      </w:r>
    </w:p>
    <w:p>
      <w:r>
        <w:t>INTERVENTION{PROCÉDURE}, PROTECTION DE L'UNION CONJUGALE, RETARD INJUSTIFIÉ, DROIT D'OBTENIR UNE DÉCISION, MESURE PRÉPROVISIONNELLE | 319 let. c CPC (CH), 73 CPC (CH), 74 CPC (CH), 75 CPC (CH)</w:t>
      </w:r>
    </w:p>
    <w:p>
      <w:pPr>
        <w:pStyle w:val="Heading2"/>
      </w:pPr>
      <w:r>
        <w:t>Erwägungen</w:t>
      </w:r>
    </w:p>
    <w:p>
      <w:r>
        <w:rPr>
          <w:b/>
        </w:rPr>
        <w:t>E. 1</w:t>
      </w:r>
    </w:p>
    <w:p>
      <w:r>
        <w:t>a) Selon l'art. 319 let. c CPC, le recours est recevable contre le retard injustifié du tribunal et peut être formé en tout temps (art. 321 al. 4 CPC). b) La notion de retard injustifié de l'art. 319 let. c CPC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2009, n. 10 ad art. 94 LTF, p. 916). Ce critère est également celui qui était retenu par Chambre des recours civile du Tribunal cantonal (CREC II) dans le cadre du recours pour déni de justice de l'art. 489 in fine CPC-VD (Code de procédure civile vaudois du 14 décembre 1966) (Poudret/Haldy/Tappy, Procédure civile vaudoise, 3ème éd., 2002, n. 1 ad art. 489 CPC-VD, p. 756; CREC II 6 mai 2009/81). c)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(ATF 130 I 312 c. 5.1 et 5.2; arrêt TF 1A.73/2005 du 11 août 2005 c. 5.1 et les réf. citées). Il appartient au justiciable d'entreprendre ce qui est en son pouvoir pour que l'autorité fasse diligence, que ce soit en l'invitant à accélérer la procédure ou en recourant, le cas échéant, pour retard injustifié (ATF 130 I 312 c. 5.2 p. 332). L'art. 6 § 1 CEDH n'offre pas, à cet égard, une protection plus étendue (ATF 130 I 312 c. 5.1). Le retard injustifié couvre l’hypothèse d’une absence de décision constitutive de déni de justice matériel (Jeandin, CPC commenté, n. 3 ad art. 320 CPC).</w:t>
      </w:r>
    </w:p>
    <w:p>
      <w:r>
        <w:rPr>
          <w:b/>
        </w:rPr>
        <w:t>E. 2</w:t>
      </w:r>
    </w:p>
    <w:p>
      <w:r>
        <w:t>a) L’intervention, qu’elle soit principale ou accessoire, est le fait d’un tiers qui souhaite intervenir au procès pour prendre des conclusions propres contre l’une au l’autre des parties au procès (intervention principale ou agressive) ou pour soutenir l’une des parties principales dans ses conclusions (intervention accessoire) (Haldy, CPC commenté, n. 1 ad art. 73 CPC et n. 1 ad art. 74 CPC). Elle suppose que le tiers puisse prétendre à un droit préférable excluant totalement ou partiellement celui des parties dans le cas de l’intervention principale (art. 73 al. 1 CPC) ou que l’intervenant rende vraisemblable un intérêt juridique à ce qu’un litige pendant soit jugé en faveur de l’une des parties en cas d'intervention accessoire (art. 74 al. 1 CPC). Qu'il s'agisse d'une intervention principale ou agressive, au sens de l'art. 73 CPC, ou d'une intervention accessoire, au sens de l'art. 74 CPC, il ne saurait être statué sur une telle requête sans avoir entendu les parties (art. 75 al. 1 CPC). b) En l'occurrence, les recourantes demandaient, par voie de mesures superprovisionnelles, de suspendre différents chiffres d'une ordonnance de mesures protectrices de l'union conjugale et d'une ordonnance de mesures superprovisionnelles. Or, une telle requête ne peut être formulée que par un requérant formellement partie au procès principal. D'ailleurs, accorder de telles mesures reviendrait à préjuger du sort de l’intervention. Ainsi, s’agissant de recourantes assistées d’un mandataire professionnel, le premier juge pouvait se dispenser de rejeter formellement les mesures superprovisionnelles. Il ne pouvait en effet échapper au conseil des parties que les conclusions prises à titre superprovisionnel ne pouvaient se concevoir pour les raisons qui précèdent et qu'elles étaient dès lors irrecevables. Le premier juge n'avait d'ailleurs pas à statuer sur les conclusions qui lui étaient soumises avant d'avoir entendu les parties, cas échéant admis la requête d'intervention. Quant au délai dans lequel a été fixée l'audience devant la présidente du tribunal d'arrondissement, soit deux mois et demi – la requête d’intervention ayant été déposée le 25 octobre 2012 et l'audience fixée au 16 janvier 2013 – il ne saurait être considéré comme excessif, compte tenu des circonstances concrètes exposées par le premier juge dans ses déterminations du 15 janvier 2013 et des contingences d'agenda. Mal fondé, le grief des recourantes doit dès lors être rejeté.</w:t>
      </w:r>
    </w:p>
    <w:p>
      <w:r>
        <w:rPr>
          <w:b/>
        </w:rPr>
        <w:t>E. 3</w:t>
      </w:r>
    </w:p>
    <w:p>
      <w:r>
        <w:t>Comme le relèvent les recourantes, le recours est aujourd’hui dépourvu d’objet, dès lors qu’une audience a été tenue sur la question de l’intervention notamment, le 16 janvier 2013. Il ressort du procès-verbal des opérations et de la lettre du 25 octobre 2012 du mandataire des recourantes à la présidente du tribunal d'arrondissement qu’à cette date, les recourantes savaient qu’une audience était agendée en janvier 2013. Le recours est daté du 26 novembre 2012. lI est ainsi erroné de soutenir que ce n’est que postérieurement au dépôt du présent recours que les recourantes ont été conviées à l’audience du 16 janvier 2013 (déterminations des recourantes du 31 janvier 2013, p. 2). Dès lors, même si le recours s’avère aujourd’hui sans objet, l’équité ne commande pas de laisser les frais judiciaires de deuxième instance à la charge de l’Etat, vu ce qui précède. Les frais judiciaires de deuxième instance, arrêtés à 1'000 fr., sont dès lors mis à la charge de I.________SA, M.________ Sàrl et P.________ AG, solidairement entre elles. Il n’y a pas lieu à l'allocation de dépens, les intimés n'ayant pas été invités à se déterminer. Par ces motifs, la Chambre des recours civile du Tribunal cantonal, statuant à huis clos, prononce : I. Le recours est rejeté pour autant qu'il ait encore un objet. II. Les frais judiciaires de deuxième instance, arrêtés à 1'000 fr. (mille francs), sont mis à la charge des recourantes I.________SA, M.________ Sàrl et P.________ AG, solidairement entre elles. III. L'arrêt motivé est exécutoire. Le président :               La greffière : Du</w:t>
      </w:r>
    </w:p>
    <w:p>
      <w:r>
        <w:rPr>
          <w:b/>
        </w:rPr>
        <w:t>E. 8</w:t>
      </w:r>
    </w:p>
    <w:p>
      <w:r>
        <w:t>février 2013 Le dispositif de l'arrêt qui précède est communiqué par écrit aux intéressés. La greffière : Du L'arrêt qui précède, dont la rédaction a été approuvée à huis clos, est notifié en expédition complète, par l'envoi de photocopies, à : ‑ Me Eric Muster (pour I.________SA, M.________ Sàrl et P.________ AG), ‑ Me Jérôme Bénédict (pour B.R.________), - Me Pierre-Xavier Luciani (pour O.R.________).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