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104 vom 25. Januar 2013</w:t>
      </w:r>
    </w:p>
    <w:p>
      <w:r>
        <w:t>VD Tribunal cantonal, 2013-01-25, FR</w:t>
      </w:r>
    </w:p>
    <w:p>
      <w:r>
        <w:rPr>
          <w:b/>
        </w:rPr>
        <w:t xml:space="preserve">Quelle: </w:t>
      </w:r>
      <w:r>
        <w:t>https://mcp.opencaselaw.ch/entscheid/vd_findinfo_HC___2013___104</w:t>
      </w:r>
    </w:p>
    <w:p>
      <w:r>
        <w:t>FR: VD_FINDINFO HC / 2013 / 104 du 25 janvier 2013</w:t>
      </w:r>
    </w:p>
    <w:p>
      <w:r>
        <w:t>IT: VD_FINDINFO HC / 2013 / 104 del 25 gennaio 2013</w:t>
      </w:r>
    </w:p>
    <w:p>
      <w:pPr>
        <w:pStyle w:val="Heading2"/>
      </w:pPr>
      <w:r>
        <w:t>Regeste</w:t>
      </w:r>
    </w:p>
    <w:p>
      <w:r>
        <w:t>ASSISTANCE JUDICIAIRE | 29 al. 3 Cst., 117 CPC (CH), 121 CPC (CH), 319 let. b ch. 1 CPC (CH)</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(art. 59 al. 2 let. a CPC), le recours est recevable à la forme.</w:t>
      </w:r>
    </w:p>
    <w:p>
      <w:r>
        <w:rPr>
          <w:b/>
        </w:rPr>
        <w:t>E. 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Berne 2009, nn. 17 et ss ad art. 64 LTF [loi du 17 juin 2005 sur le Tribunal fédéral; RS 173.110]).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op. cit., n. 20 ad art. 64 LTF).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II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w:t>
      </w:r>
    </w:p>
    <w:p>
      <w:r>
        <w:rPr>
          <w:b/>
        </w:rPr>
        <w:t>E. 3</w:t>
      </w:r>
    </w:p>
    <w:p>
      <w:r>
        <w:t>En l'espèce, seule la question de l'indigence doit être examinée, la deuxième condition posée par l'art. 117 CPC devant être tenue pour remplie dans le cadre du présent procès relevant du droit de la famille. S'agissant des revenus de G.________, il résulte de la déclaration d'impôt pour l'année 2011 que le prénommé a annoncé un revenu annuel brut de 64'048 fr., lequel se compose d'un revenu dépendant, par 2'400 fr., d'un revenu indépendant, par 58'964 fr., et d'un rendement immobilier, par 2'684 francs. Par ailleurs, G.________ n'a pas d'élément de fortune. Les charges d'entretien peuvent être appréciées selon les normes du droit des poursuites concernant le minimum vital. Toutefois, on ajoutera un pourcentage de l'ordre de 25% au montant de base LP (loi fédérale du 11 avril 1889 sur la poursuite pour dettes et la faillite, RS 281.1), afin d'atténuer la rigueur de ces normes (Corboz, op. cit., n. 26 ad art. 64 LTF; Rüegg, Basler Kommentar, Schwei-zerische Zivilprozessordnung, 2010, n. 12 ad art. 117 CPC; Emmel, in Sutter-Somm/ Hasenböhler/Leuenberger, Kommentar zur Schweizerischen Zivilprozessordnung, Zurich-Bâle-Genève 2010, n. 10 ad art. 117 CPC). On tiendra en outre compte des charges de loyer, des primes d'assurance obligatoires ou usuelles ainsi que de la charge fiscale, pour autant que ces sommes soient plus ou moins régulièrement payées (Corboz, ibidem). En l'occurrence, G.________ a la charge des trois enfants du couple, nés respectivement en 1989, 1991 et 1996. Les deux enfants majeurs sont aux études, l'un effectuant une formation de technicien sanitaire, l'autre étant au gymnase. Le cadet est à l'Ecole Vinet; il ne peut être tenu compte de son écolage privé. S'agissant des frais d'électricité du loyer annoncés par G.________, ils sont déjà compris dans le montant de base LP; les autres charges relatives au logement peuvent être retenues à concurrence d'un montant de 200 francs. Par ailleurs, le prénommé a admis qu'il était vraisemblable qu'il ne supporterait aucune charge fiscale pour l'année 2011. Enfin, il n'y a pas lieu de tenir compte des intérêts liés à la résidence secondaire dont l'intéressé est propriétaire en Valais (hypothéquée à hauteur de sa valeur fiscale). Partant, les charges mensuelles de G.________ s'établissent comme suit : - Montant de base au titre du minimum vital pour un débiteur monoparental, élargi de 25% (1'350 fr. + [1'350 fr. x 25%]) fr.  1'687.50 - Entretien de l'enfant mineur              fr. 600.00 - Entretien des deux enfants majeurs fr.  1'200.00 - Assurance maladie du recourant et de l'enfant mineur fr.     584.90 - Loyer fr.  2'040.00 - Autres charges              fr. 200.00 Les charges s'élèvent dès lors à 6'312 fr. 40 par mois, pour un revenu mensualisé de 5'337 fr. 35 (64'048 fr. ./.12). En l'état, il apparaît ainsi que, même en étant très strict sur les charges – ce que la jurisprudence du Tribunal fédéral n'exige pas –, les ressources du recourant sont insuffisantes pour qu'il puisse honorer les services d'un avocat sans compromettre son minimum vital. Il ne se justifie par conséquent pas de lui retirer le bénéfice de l'assistance judiciaire.</w:t>
      </w:r>
    </w:p>
    <w:p>
      <w:r>
        <w:rPr>
          <w:b/>
        </w:rPr>
        <w:t>E. 4</w:t>
      </w:r>
    </w:p>
    <w:p>
      <w:r>
        <w:t>a) En définitive, le recours doit être admis et la décision entreprise doit être réformée en ce sens que l'assistance judiciaire octroyée au recourant selon prononcé du Président du Tribunal civil de l'arrondissement de Lausanne du 7 novembre 2011 est maintenue avec effet rétroactif au 18 décembre 2012. b) La requête d'assistance judiciaire du recourant est admise, Me Alexandre Kirschmann étant désigné conseil d'office dans la procédure de recours. Le conseil d'office du recourant a produit sa liste des opérations le 21 janvier 2013. Il indique que le temps consacré à l'exercice du mandat a été de 17 heures et 30 minutes, dont 2 heures et 30 minutes effectuées par lui-même et 15 heures effectuées par Me Sophie Girardet, avocate-stagiaire au sein de son étude. En outre, il fait état d'un montant des débours de 50 francs. Aux termes de l'art. 2 al. 1 RAJ (règlement sur l'assistance judiciaire en matière civile du</w:t>
      </w:r>
    </w:p>
    <w:p>
      <w:r>
        <w:rPr>
          <w:b/>
        </w:rPr>
        <w:t>E. 7</w:t>
      </w:r>
    </w:p>
    <w:p>
      <w:r>
        <w:t>décembre 2010;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et 110 fr. aux avocats-stagiaires. En l'espèce, il y a lieu d'admettre pour l'exercice du mandat un total de 8 heures de travail, soit 2 heures effectuées par le conseil d'office du recourant et 6 heures par l'avocate-stagiaire susnommée. Au tarif de 180 fr., respectivement 110 fr. de l'heure, l'indemnité d'office de Me Alexandre Kirschmann doit être fixée à 1'155 fr. 60, TVA et débours compris, soit 1'101 fr. 60 d'honoraires, TVA par 81 fr. 60 comprise, et 54 fr. de débours, TVA par 4 fr. comprise. c) Au vu de l'issue du recours, les frais judiciaires de deuxième instance, y compris l'indemnité d'office précitée, sont laissés à la charge de l'Etat. Par ces motifs, la Chambre des recours civile du Tribunal cantonal, statuant à huis clos, prononce : I. Le recours est admis. II. La décision est réformée en ce sens que l'assistance judiciaire octroyée à G.________ selon prononcé du Président du Tribunal civil de l'arrondissement de Lausanne du 7 novembre 2011 est maintenue avec effet rétroactif au 18 décembre 2012. III. Une indemnité de 1'155 fr. 60 (mille cent cinquante-cinq francs et soixante centimes) est allouée à Me Alexandre Kirschmann pour la procédure de recours. IV. Les frais judiciaires de deuxième instance, y compris l'indemnité prévue sous chiffre III ci-dessus, sont laissés à la charge de l'Etat. V. L'arrêt motivé est exécutoire. Le président :               Le greffier : Du 25 janvier 2013 Le dispositif de l'arrêt qui précède est communiqué par écrit aux intéressés. Le greffier : Du L'arrêt qui précède, dont la rédaction a été approuvée à huis clos, est notifié en expédition complète, par l'envoi de photocopies, à : ‑ Me Alexandre Kirschmann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