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 vom 15. November 2012</w:t>
      </w:r>
    </w:p>
    <w:p>
      <w:r>
        <w:t>VD Tribunal cantonal, 2012-11-15, FR</w:t>
      </w:r>
    </w:p>
    <w:p>
      <w:r>
        <w:rPr>
          <w:b/>
        </w:rPr>
        <w:t xml:space="preserve">Quelle: </w:t>
      </w:r>
      <w:r>
        <w:t>https://mcp.opencaselaw.ch/entscheid/vd_findinfo_HC___2013___10</w:t>
      </w:r>
    </w:p>
    <w:p>
      <w:r>
        <w:t>FR: VD_FINDINFO HC / 2013 / 10 du 15 novembre 2012</w:t>
      </w:r>
    </w:p>
    <w:p>
      <w:r>
        <w:t>IT: VD_FINDINFO HC / 2013 / 10 del 15 novembre 2012</w:t>
      </w:r>
    </w:p>
    <w:p>
      <w:pPr>
        <w:pStyle w:val="Heading2"/>
      </w:pPr>
      <w:r>
        <w:t>Regeste</w:t>
      </w:r>
    </w:p>
    <w:p>
      <w:r>
        <w:t>AVOCAT, HONORAIRES, MODÉRATION | 12 let. i LLCA, 45 al. 1 LPAv, 48 LPAv, 50 LPAv, 51 LPAv</w:t>
      </w:r>
    </w:p>
    <w:p>
      <w:pPr>
        <w:pStyle w:val="Heading2"/>
      </w:pPr>
      <w:r>
        <w:t>Erwägungen</w:t>
      </w:r>
    </w:p>
    <w:p>
      <w:r>
        <w:rPr>
          <w:b/>
        </w:rPr>
        <w:t>E. 1</w:t>
      </w:r>
    </w:p>
    <w:p>
      <w:r>
        <w:t>a) 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à la Chambre des recours civile du Tribunal cantonal (art. 73 al. 2 LOJV [loi du 12 septembre 1979 d'organisation judiciaire; RSV 173.01]). Le délai de recours est de trente jours dès la notification de la décision attaquée et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(Jomini, Les honoraires et débours de l'avocat vaudois et leur modération, in JT 1982 III 2 ss, spéc. n. 4, p. 4). En l'espèce, le prononcé de modération a été notifié aux parties le 25 mai 2012 et reçu par les recourants le 29 mai 2012. Mis à la poste sous pli recommandé le 28 juin 2012, le recours a été formé en temps utile. Motivé et signé par une partie qui a intérêt au recours (art. 75 LPA-VD), le recours est dès lors recevable.</w:t>
      </w:r>
    </w:p>
    <w:p>
      <w:r>
        <w:rPr>
          <w:b/>
        </w:rPr>
        <w:t>E. 2</w:t>
      </w:r>
    </w:p>
    <w:p>
      <w:r>
        <w:t>Selon l'art. 76 LPA-VD, la partie recourante peut invoquer la violation du droit, y compris l'excès ou l'abus du pouvoir d'appréciation (a), la constatation inexacte ou incomplète de faits pertinents (b) et l'inopportunité (c). Le recourant ne peut prendre des conclusions qui sortent du cadre fixé par la décision attaquée. Il peut en revanche présenter des allégués et des moyens de preuve qui n'ont pas été invoqués jusque là (art. 79 al. 2 LPA-VD).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Dans un premier grief, les recourants invoquent la violation de leur droit d'être entendus. Ils se référent à cet égard à leurs déterminations adressées le 24 juin 2010 au tribunal de modération et lui reprochent de ne pas avoir donné suite à leur requête tendant à la fixation d'un délai pour se déterminer sur la réalité des opérations annoncées par l'intimé en fonction du contenu des deux dossiers pénaux.</w:t>
      </w:r>
    </w:p>
    <w:p>
      <w:r>
        <w:rPr>
          <w:b/>
        </w:rPr>
        <w:t>E. 3.1</w:t>
      </w:r>
    </w:p>
    <w:p>
      <w:r>
        <w:t>Le droit d'être entendu est une garantie constitutionnelle (art. 29 al. 2 Cst. [Constitution fédérale de la Confédération suisse du 18 avril 1999; RS 101])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Le droit d'être entendu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JT 2000 I 130; ATF 122 I 53 c. 4a, JT 1997 I 304 et les arrêts cités).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w:t>
      </w:r>
    </w:p>
    <w:p>
      <w:r>
        <w:rPr>
          <w:b/>
        </w:rPr>
        <w:t>E. 3.2</w:t>
      </w:r>
    </w:p>
    <w:p>
      <w:r>
        <w:t>Dans leurs déterminations du 24 juin 2010, les recourants, alors représentés par Me Astyanax Peca, reprochent à Me K.________ de ne pas leur avoir "transmis" les pièces n° 11 et 12 du bordereau produit à l'appui de sa requête de modération, à savoir le dossier complet de l'affaire pénale contre les époux B.D.________ et celui de l'affaire pénale contre Dame T.________. Me Peca ajoute à cet égard qu'il conviendra cas échéant que Me K.________ lui en transmette une copie et qu'un délai lui soit imparti pour prendre position. Ainsi formulée, il paraît douteux que cette remarque doive être considérée comme une réquisition à laquelle le premier juge n'aurait pas donné suite, ce qui constituerait une violation du droit d'être entendus des recourants. Si véritablement ces deux dossiers étaient d'une telle importance pour ceux-ci afin qu'ils puissent se déterminer sur les opérations alléguées par l'intimé dans l'exécution de son mandat, ils auraient dû en requérir formellement la production au juge, ce qu'ils n'ont pas fait, se bornant à déclarer qu'il conviendrait cas échéant que l'intimé leur en transmette une copie. Au surplus, on ne voit pas ce qui empêchait les recourants d'aller les consulter au greffe et de lever, cas échéant, les photocopies qui pouvaient les intéresser; en tous les cas, ils ne font pas valoir qu'ils n'auraient pas eu accès auxdits dossiers. Quoi qu'il en soit, la question peut en l'espèce demeurer indécise. La prétendue violation du droit d'être entendus des recourants peut être guérie dans la présente procédure de recours, dès lors que la cour de céans dispose du même pouvoir de cognition que le premier juge et que les dossiers pénaux ont été joints au dossier de la présente cause.</w:t>
      </w:r>
    </w:p>
    <w:p>
      <w:r>
        <w:rPr>
          <w:b/>
        </w:rPr>
        <w:t>E. 4.1</w:t>
      </w:r>
    </w:p>
    <w:p>
      <w:r>
        <w:t>Selon l'art. 45 al. 1 LPAv,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TF 4P_342/2006 du 5 mars 2007 c. 4.1 et les arrêts cités). La jurisprudence, se fondant sur l’art. 36 aLB, admettait que les avocats n’ont pas l’obligation de tenir un décompte des heures consacrées à l’exécution de leur mandat (JT 2003 III 67 et 2006 III 38 précités; Jomini, op. cit., n. 2, 7 et 10, pp. 3, 4-6). L’art. 48 LPAv, dont le titre marginal est « Contenu de la note d’honoraires », dispose que l’avocat remet à son client la note de ses honoraires et débours, conformément à l'art. 12 let. i LLCA (loi fédérale du 23 juin 2000 sur la libre circulation des avocats; RS 935.61). Cette dernière disposition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2A_18/2004 du 13 août 2004 c. 7.2.1 et 7.2.3; Bohnet/Martenet, Droit de la profession d'avocat, 2009, n. 1785, pp. 733-734 et n. 2836, p. 1126; Fellmann, Kommentar zum Anwaltgesetz, Fellmann/Zindel Hrsg, 2005, n. 172 ad art. 12 LLCA, pp. 200-201). Lorsque les honoraires du mandataire, notamment de l’avocat, sont calculés sur la base d’un tarif horaire, celui-ci supporte le fardeau de la preuve pour le temps consacré à l’exécution du mandat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w:t>
      </w:r>
    </w:p>
    <w:p>
      <w:r>
        <w:rPr>
          <w:b/>
        </w:rPr>
        <w:t>E. 4.2.1</w:t>
      </w:r>
    </w:p>
    <w:p>
      <w:r>
        <w:t>Dans la première des notes de frais litigieuses, soit la note d'honoraires et débours du 25 mars 2009 pour les opérations effectuées dès le 21 octobre 2008 dans le cadre de la procédure pénale à l'encontre de Dame A.D.________, Me K.________ réclame le paiement d'un montant de 1'796 fr. 90, hors TVA, pour une conférence avec ses clients en vue de la préparation de l'audience de jugement, la rédaction d'une requête au Président du tribunal de police et d'un bordereau de pièces, l'examen des pièces déposées par la partie adverse et leur transmission aux clients, l'examen du jugement rendu le 5 mars 2009 par ledit président, la rédaction d'une déclaration de recours à l'encontre dudit jugement, la rédaction de neuf correspondances et mails divers, cinq conférences téléphoniques diverses et la photocopie de pièces. Il ressort du dossier pénal de la cause en mains de la cour de céans que Me K.________ s'est effectivement entretenu avec ses clients selon lettre du 13 janvier 2009 adressée par celui-ci au Juge d'instruction de l'arrondissement de l'Est vaudois, qu'il a rédigé le 5 février 2009 une requête au Président du Tribunal d'arrondissement de l'Est vaudois et lui a adressé un bordereau de 4 pièces, qu'il a fait parvenir le 3 mars 2009 à celui-ci un onglet de pièces sous bordereau en vue de l'audience du 5 mars 2009, que le Tribunal de police de l'arrondissement de l'Est vaudois a rendu un jugement le 5 mars 2009 et que Me K.________ a rédigé le 13 mars 2009 une déclaration de recours à l'encontre dudit jugement. Le dossier contient en outre neuf correspondances de Me K.________ et divers courriels adressés aux recourants. Pour le surplus, les cinq conférences téléphoniques avec les clients, l'examen des pièces et leur transmission aux clients ainsi que la conférence de préparation de l'audience de jugement apparaissent comme plausibles et peuvent être retenues. Cela étant, même si la note d'honoraires et débours litigieuse ne détaille pas le temps consacré à chaque opération, on peut estimer qu'au tarif usuel des avocats vaudois, soit un tarif horaire situé entre 330 et 350 fr., les opérations facturées représenteraient environ 5 heures 15 de travail (1'796 fr. : 340 fr.), ce qui apparaît plausible au vu de l'ensemble des opérations effectuées.</w:t>
      </w:r>
    </w:p>
    <w:p>
      <w:r>
        <w:rPr>
          <w:b/>
        </w:rPr>
        <w:t>E. 4.2.2</w:t>
      </w:r>
    </w:p>
    <w:p>
      <w:r>
        <w:t>La seconde note d'honoraires et débours litigieuse, adressée le 21 avril 2009 aux recourants, porte sur les opérations effectuées dès le 21 octobre 2008 dans le cadre de la plainte pénale pour faux témoignage déposée à l'encontre de Dame T.________. D'un montant de 616 fr. 80, TVA comprise, elle indique que ces opérations sont principalement et essentiellement la réception, l'examen et la transmission de l'arrêt communiqué le 21 octobre 2008 par le Tribunal d'accusation, la rédaction de quatre requêtes au juge d'instruction, l'examen du dossier constitué par le juge d'instruction et la transmission aux clients, la rédaction de quatre correspondances diverses et enfin la photocopie de pièces. Le dossier relatif à cette cause confirme que l'arrêt rendu le 29 septembre 2008 par le Tribunal d'accusation du Tribunal cantonal a effectivement été communiqué le 21 août 2008 sous forme de dispositif à Me K.________. Il comprend en outre quatre requêtes ou correspondances adressées les 13 janvier, 26 janvier et 31 mars et 3 avril 2009 par celui-ci au juge d'instruction ainsi que quatre courriers adressés entre le 14 janvier et le 21 avril 2009 à ses clients. Les opérations facturées sont ainsi avérées. Au surplus, le montant des honoraires et débours réclamés pour ces diverses opérations, lesquelles représenteraient quelque 1 heure 40 de travail (573 fr. 25 : 340 fr.), apparaît adéquat compte tenu de l'ensemble des prestations décrites ci-dessus. En conclusion, on retiendra que la réalité des opérations facturées est établie et que les notes d'honoraires et débours de 1'933 fr. 45 et 616 fr. 80 s'avèrent justifiées au regard du travail accompli. A cet égard, l'appréciation du premier juge ne prête pas le flanc à la critique et peut être confirmée.</w:t>
      </w:r>
    </w:p>
    <w:p>
      <w:r>
        <w:rPr>
          <w:b/>
        </w:rPr>
        <w:t>E. 5</w:t>
      </w:r>
    </w:p>
    <w:p>
      <w:r>
        <w:t>Les recourants reprochent au premier juge de ne pas avoir tenu compte des provisions versées, contrairement au volet civil de la présente cause en modération d'honoraires (CREC 8 février 2012/61). Ils font valoir qu'ils auraient effectué des versements totalisant 23'079 fr., qu'un montant de 7'500 fr. a été retenu en ce qui concerne les honoraires et débours de la procédure civile et que le prononcé entrepris devait dès lors constater le paiement intégral des notes d'honoraires soumises. Subsidiairement, les recourants invoquent la violation de l'art. 86 al. 1 CO dès lors qu'ils ont écrit en mars 2009 à l'intimé qu'ils avaient déjà réglé 9'500 fr. pour les affaires pénales et que le premier juge devait dès lors tenir compte de cette imputation. L'autorité de modération n'a pas la compétence d'examiner les griefs de droit matériel. Selon la jurisprudence, elle n'a notamment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29 novembre 2010/243 et les réf. citées). Le juge modérateur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Le premier juge n'avait dès lors pas à statuer sur les éventuelles provisions à déduire des notes d'honoraires et débours litigieuses, cette compétence revenant au juge civil ordinaire.</w:t>
      </w:r>
    </w:p>
    <w:p>
      <w:r>
        <w:rPr>
          <w:b/>
        </w:rPr>
        <w:t>E. 6</w:t>
      </w:r>
    </w:p>
    <w:p>
      <w:r>
        <w:t>En conclusion, le recours doit être rejeté et le prononcé attaqué confirmé. Les frais judiciaires de deuxième instance sont arrêtés à 200 fr. (art. 75 TFJC [tarif des frais judiciaires civils du 28 septembre 2010; RSV 270.11.5]) et mis à la charge des recourants qui succombent (art. 106 al. 1 CPC). Il n'y a pas lieu à l'allocation de dépens de deuxième instance, l'intimé se limitant à indiquer qu'il se rallie purement et simplement aux considérants du prononcé entrepris et plaidant, de toute manière, dans sa propre cause. Par ces motifs, la Chambre des recours civile du Tribunal cantonal, statuant à huis clos, prononce : I. Le recours est rejeté. II. Le prononcé est confirmé . III. Les frais judiciaires de deuxième instance, arrêtés à 200 fr. (deux cents francs), sont mis à la charge de P.________, solidairement entre eux. IV. L'arrêt motivé est exécutoire. Le président :               Le greffier : Du 15 novembre 2012 Le dispositif de l'arrêt qui précède est communiqué par écrit aux intéressés. Le greffier : Du L'arrêt qui précède, dont la rédaction a été approuvée à huis clos, est notifié en expédition complète, par l'envoi de photocopies, à : ‑ Me Stephen Ginzburger (pour P.________), ‑ Me K.________. La Chambre des recours civile considère que la valeur litigieuse est de 2'550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