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99 vom 8. Februar 2012</w:t>
      </w:r>
    </w:p>
    <w:p>
      <w:r>
        <w:t>VD Tribunal cantonal, 2012-02-08, FR</w:t>
      </w:r>
    </w:p>
    <w:p>
      <w:r>
        <w:rPr>
          <w:b/>
        </w:rPr>
        <w:t xml:space="preserve">Quelle: </w:t>
      </w:r>
      <w:r>
        <w:t>https://mcp.opencaselaw.ch/entscheid/vd_findinfo_HC___2012___99</w:t>
      </w:r>
    </w:p>
    <w:p>
      <w:r>
        <w:t>FR: VD_FINDINFO HC / 2012 / 99 du 8 février 2012</w:t>
      </w:r>
    </w:p>
    <w:p>
      <w:r>
        <w:t>IT: VD_FINDINFO HC / 2012 / 99 del 8 febbraio 2012</w:t>
      </w:r>
    </w:p>
    <w:p>
      <w:pPr>
        <w:pStyle w:val="Heading2"/>
      </w:pPr>
      <w:r>
        <w:t>Regeste</w:t>
      </w:r>
    </w:p>
    <w:p>
      <w:r>
        <w:t>ASSURANCE-MALADIE PRIVÉE, SÉJOUR À L'HÔPITAL, MESURE DE RÉADAPTATION{ASSURANCE SOCIALE} | 33 LCA</w:t>
      </w:r>
    </w:p>
    <w:p>
      <w:pPr>
        <w:pStyle w:val="Heading2"/>
      </w:pPr>
      <w:r>
        <w:t>Erwägungen</w:t>
      </w:r>
    </w:p>
    <w:p>
      <w:r>
        <w:rPr>
          <w:b/>
        </w:rPr>
        <w:t>E. 1</w:t>
      </w:r>
    </w:p>
    <w:p>
      <w:r>
        <w:t>a) Le jugement entrepris, directement motivé, a été envoyé le 18 octobre 2011, de sorte que les voies de droit sont régies par le CPC (Code de procédure civile suisse du 19 décembre 2008; RS 271), entré en vigueur le 1 er janvier 2011 (art. 405 al. 1 CPC). Le CPC s'applique aux litiges en matière d'assurance complémentaire à l'assurance-maladie sociale, que ceux-ci soient soumis à la juridiction civile ou qu'ils restent de la compétence d'un tribunal des assurances (art. 7 CPC; Ruetschi, in Sutter-Somm/Hasenböhler/Leuenberger Hrsg, Kommentar zur Schweizerischen Zivilprozessordnung [ZPO], 2010, n. 15 ad art. 7 CPC). b) Dans un arrêt du 7 juin 2011 (publié in JT 2011 III 143), la Cour d'appel civile a admis la recevabilité d'un appel à la Cour d'appel civile contre les jugements en matière d'assurances complémentaires à l'assurance-maladie rendus par la Cour des assurances sociales du Tribunal cantonal, dans les cas où la procédure était introduite avant le 1 er janvier 2011 et le jugement rendu après cette date. Elle a ainsi fait prévaloir le principe constitutionnel de la double instance (art. 129 Cst-VD [Constitution du 14 avril 2003 du Canton de Vaud; RSV 101.01]) sur celui de la prohibition du recours horizontal entre juridictions du même rang. Ce recours horizontal est purement transitoire : il concerne les jugements communiqués après le 1 er janvier 2011 dans des procédures ouvertes avant cette date. Depuis le 1 er janvier 2011, les litiges en la matière sont soumis à la juridiction civile ordinaire ratione valoris (juge de paix, président de tribunal d'arrondissement, tribunal d'arrondissement ou Chambre patrimoniale cantonale, selon la valeur litigieuse) et pourront faire l'objet d'un appel qui sera adressé, selon la valeur litigieuse, à la Chambre des recours civile ou à la Cour d'appel civile (cf. note de Jean-Luc Colombini, in JT 2011 III 145 s.). c) En tant qu'héritier de l'assurée (art. 560 CC [Code civil suisse du 10 décembre 1907; RS 210]), A.P.________ a la qualité pour agir dans la présente procédure. d) L'appel est recevable contre les décisions finales de première instance (art. 308 al. 1 let. a CPC), dans les causes patrimoniales dont la valeur litigieuse est supérieure à 10'000 fr. (art. 308 al. 2 CPC). Le délai pour l’introduction de l'appel est de trente jours à compter de la notification de la décision motivée (art. 311 al. 1 CPC). Formé en temps utile par une partie qui y a intérêt (art. 59 al. 2 let. a CPC) et portant sur des conclusions qui sont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in JT 2010 III 134).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128). Il appartient à l’appelant de démontrer que ces conditions sont réalisées, de sorte que l’appel doit indiquer spécialement les faits et preuves nouveaux et motiver spécialement les raisons qui les rendent admissibles selon lui (Tappy, op. cit., JT 2010 III 136-137). La doctrine est divisée sur le point de savoir si la maxime inquisitoire, qui s'applique notamment aux litiges portant sur des assurances complémentaires à l’assurance-maladie sociale (art. 247 al. 2 et 243 al. 2 let. f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2009, p. 197; Spühler, Basler Kommentar, 2010, n. 7 ad art. 317 CPC; Reetz/Hilber, in ZPO-Komm.,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e éd., 2010, n. 2410, p. 437). Les parties peuvent toutefois faire valoir que le juge de première instance a violé la maxime inquisitoire en ne prenant pas en considération certains faits (Hohl, op. cit., n. 2414, p. 438) (cf. JT 2011 III 43). c) L’appel est principalement réformatoire. L’autorité d’appel peut toutefois, à titre exceptionnel, renvoyer la cause en première instance si un élément essentiel de la demande n’a pas été examiné ou si l’état de fait doit être complété sur des points essentiels (Tappy, op. cit., JT 2010 III 148).</w:t>
      </w:r>
    </w:p>
    <w:p>
      <w:r>
        <w:rPr>
          <w:b/>
        </w:rPr>
        <w:t>E. 3</w:t>
      </w:r>
    </w:p>
    <w:p>
      <w:r>
        <w:t>a) Dénonçant une violation de l'art. 33 LCA, l'appelant soutient que les frais d'hospitalisation à la Clinique L.________, du 9 novembre 2005 au 31 janvier 2006, doivent être pris en charge par l'intimée, au titre du produit d'assurance-maladie complémentaire Ultra. b) Selon l'art. 33 LCA, l’assureur répond de tous les événements qui présentent le caractère du risque contre les conséquences duquel l’assurance a été conclue, à moins que le contrat n’exclue certains événements d’une manière précise, non équivoque. En l'espèce, l'art. 4 des conditions générales pour l'assurance maladie complémentaire, dont il n'est pas contesté qu'elles font partie intégrante du contrat d'assurance, prévoit une délimitation de la couverture d'assurance. Selon le point 4.1.9 de cet article, sont exclus de l'assurance, notamment, « les cures d'air, de repos, d'ingestion d'eau et de thalassothérapie, les traitements de l’obésité, les corrections des défauts de la vue, les hospitalisations à caractère médico-social, ainsi que les séjours justifiés par des soins palliatifs en fin de vie, par des mesures diététiques, de réadaptation, de réhabilitation ou de traitement de la douleur ». La couverture d'assurance dont bénéficiait l'assurée exclut donc la prise en charge des séjours de réadaptation et de réhabilitation. Selon la doctrine, la réadaptation se caractérise par le fait que le traitement de la maladie est en lui-même terminé et que des formes de thérapie sont mises en place pour les suites du traitement. Elle a pour but d'améliorer la capacité physique, afin de rétablir une certaine autonomie des intéressés (Longchamp, Conditions et étendue du droit aux prestations de l'assurance-maladie sociale, Berne, 2004, p. 247 à 253). Elle vise, à l'aide de moyens médicaux, à rétablir des fonctions perdues ou à améliorer des fonctions diminuées (ATF 126 V 323). Dans le cas de maladies chroniques, elle sert à maintenir, voire à améliorer, les fonctions restantes. En revanche, les soins dits aigus visent les soins dispensés généralement à des malades alités, dont l'état de santé est souvent grave et qui ont besoin d'une surveillance continue au moyen d'un personnel nombreux et qualifié et d'appareillages perfectionnés (Longchamp, op. cit., p. 393). c) En l'espèce, l'assurée a présenté, dès le mois de mars 2005, les symptômes d'une sclérose latérale amyotrophique, à savoir d'une paraparésie sans troubles sensitivo-moteurs ni sphinctériens associés. Une telle pathologie engendre une dépendance dans les actes quotidiens, en particulier en raison de la paralysie progressive des membres inférieurs. Le traitement médical durant le séjour litigieux consistait en une médication orale ainsi qu'en de la physiothérapie. Ainsi, selon son médecin traitant, l'assurée n'a bénéficié, au cours de son séjour à la Clinique L.________, que de l'administration de quelques médicaments et d'une physiothérapie intensive, ayant pour but de maintenir dans toute la mesure du possible son autonomie (courrier du 7 août 2007, cf. supra, let. C ch. 3). Du reste, la facture établie le 30 novembre 2007 par la Clinique L.________ mentionne la physiothérapie et quelques médicaments, principalement destinés à calmer les douleurs de l'assurée, à l'exclusion de tout traitement de type aigu; aucune visite d'un médecin n'a été facturée, ni dans le décompte, ni séparément. Le séjour, qui n'a donc pas été l'occasion de procéder à de multiples contrôles médicaux ou à d'autres mesures techniques, a servi uniquement à maintenir l'assurée dans un état d'autonomie relatif, répondant ainsi à la définition des soins de réadaptation. Les avis médicaux dont se prévaut l'appelant ne disent pas autre chose. Dans son courrier du 10 janvier 2006, le Dr N.________ a déclaré que l'assurée était hospitalisée « en raison de l’aggravation de l'affection neurologique dont elle souffr[ait] ». Il a précisé qu'elle ne présentait pas de déficit respiratoire et de troubles de la déglutition, de sorte qu'aucune surveillance particulière ne devait être assumée de ce point de vue, et il a ajouté qu'on pouvait espérer une certaine amélioration transitoire de l'état de la patiente sous un traitement de physiothérapie intensive, ce qui justifierait son transfert en établissement de réadaptation. Dans sa lettre du 7 août 2007, ce médecin a expliqué que « le traitement comportait l’administration de Ritulek, de vitamines E et d'une physiothérapie intensive ayant pour but de maintenir dans toute la mesure du possible l'autonomie de la patiente ». L'opinion de ce médecin selon laquelle il ne s'agissait pas d'un séjour de réadaptation, mais d'un séjour à but diagnostique et thérapeutique, importe peu dès lors que la qualification juridique du séjour au vu des faits établis relève de l'appréciation du juge. Quant au Dr G.________ (rapport du 27 septembre 2007), il se dit dans l'impossibilité de donner des informations sur l'état de l'intéressée et son séjour auprès de la Clinique L.________. Il ne ressort donc pas de ces documents que l'assurée a bénéficié de soins aigus durant son séjour à la Clinique L.________ et que la physiothérapie n'est intervenue qu'à titre accessoire et subsidiaire dans les soins prodigués. L'appelant requiert l'assignation à comparaître en qualité de témoins des Drs G.________ et [...], afin que ces médecins confirment que le séjour à la Clinique L.________ de l'assurée avait pour but l'administration de soins aigus. Les moyens de preuve nouveaux ne sont toutefois admis en appel que s'ils sont produits sans retard et ne pouvaient pas être produits devant la première instance bien que la partie qui s'en prévaut ait fait preuve de la diligence requise (art. 317 al. 1 CPC ; cf. c. 2b ci-dessus). En l'espèce, il apparaît que l'appelant – et celui-ci n'établit pas le contraire – pouvait requérir déjà en première instance l'audition de ces deux témoins. Partant, son offre de preuve ne peut être admise. Au vu de ce qui précède, force est de constater que le séjour de l'assurée à la Clinique L.________ était constitutif d'un séjour de réadaptation. Les griefs de l'appelant doivent être rejetés.</w:t>
      </w:r>
    </w:p>
    <w:p>
      <w:r>
        <w:rPr>
          <w:b/>
        </w:rPr>
        <w:t>E. 4</w:t>
      </w:r>
    </w:p>
    <w:p>
      <w:r>
        <w:t>L'appelant soutient que l'intimée doit lui rembourser la facture de l'orthopédiste W.________, datée du 26 avril 2007, d'un montant de 2'182 fr. 60. L'assurée est au bénéfice de quatre assurances complémentaires. L'art. 4.1.12 des conditions générales pour l'assurance maladie complémentaire exclut de la couverture les frais d’acquisition et de location d'appareils médicaux, d'articles orthopédiques et de prothèses. Toutefois, en dérogation à cet article, l'art. 8.2 des conditions spéciales du produit Complementa Plus prévoit que la Caisse « prend en charge [les moyens auxiliaires], jusqu'à concurrence d'une facturation brute de 500 fr. par année civile, 80 % des frais d'acquisition ou de location d'appareils médicaux et d'articles orthopédiques prescrits par le médecin-traitant ». Aucune prise en charge des accessoires orthopédiques n'est prévue. Selon cette disposition, la couverture d'assurance ne s'étend pas à la fourniture d'un « coussin Roho », ni à celle d'un « coussin antidécubitus », ni à la location d'un « rollator », puisqu'il s'agit d'accessoires orthopédiques non prescrits par le médecin. En revanche, l'intimée a pris en charge la location d'un fauteuil roulant standard, dans la mesure suivante : - du 14 septembre au 31 décembre 2005 : (109 jours de location x 2 fr. 50) + 28 fr. (taxe de base) = 300 fr. 50, dont le 80 % est pris en charge, à savoir 240 fr. 40; - du 1 er janvier au 14 juin 2006 : 164 jours x 2 fr. 50 = 410 fr., dont le 80 % est pris en charge, à savoir 328 francs. En remboursant à l'appelant un montant de 568 fr. 40, l'intimée a ainsi respecté les conditions contractuelles. Les griefs soulevés par l'appelant doivent être rejetés.</w:t>
      </w:r>
    </w:p>
    <w:p>
      <w:r>
        <w:rPr>
          <w:b/>
        </w:rPr>
        <w:t>E. 5</w:t>
      </w:r>
    </w:p>
    <w:p>
      <w:r>
        <w:t>En conclusion, l'appel doit être rejeté en application de l'art. 312 al. 1 CPC et le jugement de première instance confirmé. Conformément à l'art. 114 let. e CPC, il n'est pas perçu de frais judiciaires. Il n'y a pas lieu d'allouer des dépens de deuxième instance à l'intimée qui n'a pas été invitée à se déterminer dans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