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87 vom 30. Januar 2012</w:t>
      </w:r>
    </w:p>
    <w:p>
      <w:r>
        <w:t>VD Tribunal cantonal, 2012-01-30, FR</w:t>
      </w:r>
    </w:p>
    <w:p>
      <w:r>
        <w:rPr>
          <w:b/>
        </w:rPr>
        <w:t xml:space="preserve">Quelle: </w:t>
      </w:r>
      <w:r>
        <w:t>https://mcp.opencaselaw.ch/entscheid/vd_findinfo_HC___2012___87</w:t>
      </w:r>
    </w:p>
    <w:p>
      <w:r>
        <w:t>FR: VD_FINDINFO HC / 2012 / 87 du 30 janvier 2012</w:t>
      </w:r>
    </w:p>
    <w:p>
      <w:r>
        <w:t>IT: VD_FINDINFO HC / 2012 / 87 del 30 gennaio 2012</w:t>
      </w:r>
    </w:p>
    <w:p>
      <w:pPr>
        <w:pStyle w:val="Heading2"/>
      </w:pPr>
      <w:r>
        <w:t>Regeste</w:t>
      </w:r>
    </w:p>
    <w:p>
      <w:r>
        <w:t>CONTRAT D'ASSURANCE, INTERPRÉTATION CONTRA STIPULATOREM, INTERPRÉTATION EXTENSIVE, INTERPRÉTATION LITTÉRALE, INTERPRÉTATION{SENS GÉNÉRAL}, PRINCIPE DE LA CONFIANCE{INTERPRÉTATION DU CONTRAT} | 18 al. 1 CO, 33 LCA, 88a RAI</w:t>
      </w:r>
    </w:p>
    <w:p>
      <w:pPr>
        <w:pStyle w:val="Heading2"/>
      </w:pPr>
      <w:r>
        <w:t>Erwägungen</w:t>
      </w:r>
    </w:p>
    <w:p>
      <w:r>
        <w:rPr>
          <w:b/>
        </w:rPr>
        <w:t>E. 1</w:t>
      </w:r>
    </w:p>
    <w:p>
      <w:r>
        <w:t>a) Le jugement attaqué a été rendu le 7 septembre 2011, de sorte que les voies de droit sont régies par le CPC (Code de procédure civile suisse du 19 décembre 2008, RS 272), entré en vigueur le 1 er janvier 2011 (art. 405 al. 1 CPC ; ATF 137 III 127 ; ATF 137 III 130 ; Tappy, in CPC commenté, Bâle 2011, nn. 5 ss ad art. 405 CPC), lequel s'applique aux litiges en matière d'assurance complémentaire à l'assurance-maladie sociale, peu importe qu'ils soient soumis à la juridiction civile ou qu'ils restent de la compétence d'un tribunal des assurances (art. 7 CPC ; cf. JT 2011 III 143). b) Dans les affaires patrimoniales, l'appel est recevable si la valeur litigieuse au dernier état des conclusions devant l’autorité inférieure est de 10'000 fr. au moins (art. 308 al. 2 CPC). La cour de céans est compétente ratione materiae pour connaître d'un appel formé contre un jugement rendu par la Cour des assurances sociales du Tribunal cantonal (JT 2011 III 143). L'appel, écrit et motivé, est introduit auprès de l'instance d'appel dans les 30 jours à compter de la notification motivée ou de la notification postérieure de la motivation (art. 311 al. 1 CPC). Formé en temps utile par une partie qui y a un intérêt digne de protection et portant sur des conclusions supérieures à 10'000 fr.,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rPr>
          <w:b/>
        </w:rPr>
        <w:t>E. 3</w:t>
      </w:r>
    </w:p>
    <w:p>
      <w:r>
        <w:t>a) Dans un premier moyen, l’appelante reproche à la Cour des assurances sociales de ne pas avoir déterminé si les indemnités journalières qui lui avaient été servies jusqu’à la survenance de l’épisode dépressif avaient été payées en raison d’un accident ou d’une maladie. Elle lui fait également grief d’avoir nié que l’épisode dépressif, en mars 2008, constituât une « autre maladie » au sens du chiffre 12.2 CGA ; à ce sujet, elle reproche aux premiers juges d’avoir interprété la notion d’ « autre maladie » contenue dans cette disposition comme une maladie nouvelle sans rapport de causalité naturelle avec la précédente. b) Contrairement à ce que soutient l’appelante, il importe peu que les premiers juges n’aient pas déterminé si les événements intervenus au printemps 2006, à savoir les deux chutes du 24 avril, puis du 24 mai 2006, devaient être qualifiés d’accidents ou de maladies. En effet, à la lecture du contrat d’assurance liant les parties, on constate que l’appelante était couverte tant pour les accidents que les maladies, et ce aux mêmes conditions. En effet, la couverture a été fixée à 100 %, dès le 31 e jour, pour maladie et/ou accidents. Il n’est pas non plus nécessaire de trancher la question de savoir si c’est à juste titre que les premiers juges ont fait une lecture extensive des CGA, en exigeant qu’il n’y ait aucun rapport de causalité entre une maladie et une « autre maladie » pour permettre la poursuite de la couverture, ni a fortiori de déterminer si, en l’espèce, l’épisode dépressif intervenu le 26 mars 2008 constitue une « autre maladie » au sens des CGA. En effet, du 25 mai 2006 au 24 mai 2008, l’intimée a servi à l’appelante les prestations prévues par le contrat d’assurance en relation avec les événements du printemps 2006, pour la période maximale prévue, soit 730 jours. Or, s’agissant de la dépression, les médecins psychiatres de l’hôpital de Cery ont retenu une incapacité de travail de 100 % du 26 mars 2008 au 30 avril 2008. Dans son rapport d’expertise du 17 août 2010, le Dr F [...] a retenu que l’appelante avait présenté des incapacités de travail psychiatriques de 100 % entre le 1 er mars 2008 et le 30 avril 2008, de 80 % entre le 1 er mai 2008 et le 13 mai 2008, puis de 40 % entre le 14 mai 2008 et le 26 mai 2008. Ce spécialiste a encore précisé qu’il n’y avait plus d’incapacité psychiatrique dès le 27 mai 2008. Ainsi, dès lors que l’appelante a bénéficié de prestations journalières entières pour une première « maladie » jusqu’au 24 mai 2008, que l’incapacité de travail psychiatrique a valu jusqu’au 26 mai 2008 inclus, on doit admettre que l’intimée n’avait plus à verser d’indemnité journalière en raison de cet épisode dépressif, au regard du délai d’attente de 30 jours prévu par le contrat et compte tenu du fait que les CGA ne prévoient pas de double indemnisation durant la même période. Mal fondé, le moyen doit être rejeté.</w:t>
      </w:r>
    </w:p>
    <w:p>
      <w:r>
        <w:rPr>
          <w:b/>
        </w:rPr>
        <w:t>E. 4</w:t>
      </w:r>
    </w:p>
    <w:p>
      <w:r>
        <w:t>a) Dans un second moyen, l’appelante soutient avoir droit à une nouvelle couverture de 730 indemnités journalières à compter de la survenance de son AVC, intervenu le 27 mai 2008. Elle conteste que la première maladie ait entraîné une invalidité donnant droit à une rente entière de l’assurance invalidité. Elle explique que, juste avant la survenance de son AVC, elle n’avait plus d’incapacité en lien avec ses troubles psychiques et que son invalidité liée à sa première maladie ne lui donnait droit qu’à trois-quarts de rente. b) aa) Selon le contrat conclu entre les parties, l’appelante est assurée, pour les accidents et/ou maladies, avec une couverture à 100 % pour un montant de 72'000 fr. (assurance de sommes), après un délai d’attente de 30 jours, pour une durée maximale de 730 jours par cas de maladie et/ou accident, le délai d’attente étant imputé sur la durée totale des prestations. Les CGA, annexées au contrat, prévoient pour leur part que les prestations sont versées dès l’expiration du délai d’attente, pour toute incapacité de travail de 25 % au moins, proportionnellement au degré de l’incapacité de travail attestée (chiffre 8.1.), que, pour les personnes assurées sur la base d’un salaire convenu, celui-ci est seul déterminant (chiffre 11.5), que la police fixe le salaire maximum pris en considération pour le calcul des prestations (chiffre 11.6), que l’assureur verse, sous réserve de certaines éventualités, l’allocation journalière assurée pendant une période maximale de 730 jours par maladie, le délai d’attente convenu étant imputé sur la durée maximale des prestations et, pour le calcul de la durée des prestations, les jours d’incapacité de travail partielle d’au moins 25 % comptant comme jours entiers (chiffre 12.1), et qu’une fois écoulée la période prévue au chiffre 12.1, cette maladie ne donne plus droit à des prestations et est exclue de la couverture d’assurance, la couverture restant toutefois accordée selon les mêmes modalités pour toute autre maladie, en cours ou non à ce moment, sous réserve que la première maladie ne donne pas déjà droit à une rente complète de l’assurance invalidité fédérale (chiffre 12.2). bb) Auparavant, l’interprétation du contrat d’assurance relevait de la compétence de la II e Cour civile du Tribunal fédéral, qui recourait volontiers à l’adage « in dubio contra stipulatorem ». Dès que ce contrat a été transféré dans la compétence de la I re Cour de droit civil du Tribunal fédéral, celle-ci s’est empressée de rappeler que les clauses d’un contrat d’assurance, de même que les conditions générales qui ont été expressément incorporées, doivent être interprétées selon les mêmes principes juridiques que les autres dispositions contractuelles (ATF 135 III 410 c. 3.2 publié in SJ 2009 I, p. 429 ; pour les conditions générales : ATF 135 III 1 c. 2 ; ATF 133 III 675 c. 3.3). S’il n’est pas exclu que l’on retrouve épisodiquement une référence à l’adage « in dubio contra stipulatorem », il est manifeste que celui-ci a perdu de l’importance. Il faut dire que l’idée de punir celui qui a rédigé le contrat ou de trancher systématiquement en faveur de l’assuré ne trouve aucun point d’appui dans le texte légal. Le but de l’interprétation consiste bien plutôt à dégager la volonté exprimée, en considérant la manifestation de volonté telle qu’elle devait être comprise de bonne foi par son destinataire (Corboz, Le contrat d’assurance dans la jurisprudence récente, in SJ 2011 II, pp. 247 ss et les réf. citées).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obligations suisse du 30 mars 1911, RS 220]).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 LCA (Loi fédérale du 2 avril 1908 sur le contrat d’assurance, RS 221.229.1)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 conformément au principe de la confiance, c’est à l’assureur qu’il incombe de délimiter la portée de l’engagement qu’il entend prendre et le preneur n’a pas à supposer des restrictions qui ne lui ont pas été clairement présentées (Corboz, op. cit., pp. 247 ss ; ATF 133 III 675 c. 3.3 ; dans une forme résumée : ATF 135 III 410 c. 3.2, publié in SJ 2009 I, p. 429). c) Les premiers juges ont relevé que, dans le cas particulier, l’élément décisif était l’octroi à l’appelante d’une rente AI entière, à cause d’une atteinte à la santé correspondant à la notion de première maladie, qu’il importait peu que l’invalidité, persistant après l’épisode dépressif, fut également due à l’AVC, considéré comme une nouvelle maladie, que cela n’était pas déterminant dans l’appréciation globale des organes de l’assurance invalidité et que la réserve du chiffre 12.2 in fine CGA était donc applicable, ce qui excluait le maintien de la couverture d’assurance complémentaire après la fin des prestations dues en relation avec la première maladie. d) En l’occurrence, il y a lieu de déterminer si la première maladie de l’appelante lui a déjà donné droit à une rente complète de l’assurance invalidité fédérale, auquel cas l’intimée pourrait, en application du chiffre 12.2 CGA, refuser valablement toute prestation en lien avec l’AVC survenu le 27 mai 2008. L’appelante a tout d’abord été victime de deux chutes, le 24 avril, puis le 24 mai 2006. Le 26 mars 2008, elle a ensuite souffert d’une dépression qui a entraîné son hospitalisation durant près d’un mois, jusqu’au 22 avril 2008. Enfin, le 27 mai 2008, elle a subi un AVC, qui a nécessité son hospitalisation au CHUV et entraîné une incapacité de travail. Par décision du 16 octobre 2009, l’Office AI pour le canton de Vaud a accordé à l’appelante, dès le 1 er septembre 2007, trois-quarts de rente d’invalidité, puis, dès le 1 er juin 2008, une rente entière. Le dossier AI contient notamment un rapport médical du 22 août 2008 du Dr T [...], spécialiste FMH en pneumologie et médecine interne générale, médecin traitant de l’appelante, qui pose les diagnostics de lombosciatalgies à prédominance droite depuis août 2006, d’hémisyndrome sensitivo-moteur brachiocrural, troubles mnésiques et sphinctériens depuis juin 2008, ainsi que d’épisode dépressif sévère en mars 2008, pour lesquels il retient une incapacité de travail de 100 % du 20 septembre au 31 décembre 2006, de 70 % du 1 er janvier 2007 au 25 mars 2008, et de 100 % dès le 26 mars 2008, étant précisé que l’incapacité était toujours totale lors de son examen clinique du 15 août 2008. Le dossier AI comprend également un avis médical du 14 octobre 2008 du Dr L [...], du SMR, qui retient une atteinte principale sous la forme de lombosciatalgies chroniques droites d’origine peu claire, à laquelle sont associés un hémisyndrome sensitivo-moteur gauche et des troubles mnésiques en juin 2008, ainsi qu’un épisode dépressif sévère en mars 2008. L’évolution de l’incapacité de travail est celle décrite par le Dr T [...] dans son rapport du 22 août 2008. Dans son rapport du 17 août 2010, le Dr F [...] a retenu que l’appelante avait présenté des incapacités de travail psychiatriques de 100 % entre le 1 er mars 2008 et le 30 avril 2008, de 80 % entre le 1 er mai 2008 et le 13 mai 2008, puis de 40 % entre le 14 mai 2008 et le 26 mai 2008. Ce spécialiste a encore précisé qu’il n’y avait plus d’incapacité psychiatrique après le 27 mai 2008. Il résulte de ces éléments que l’appelante a certes bénéficié d’une rente entière dès le 1 er juin 2008, soit après trois mois d’aggravation depuis le 26 mars 2008 et non après trois mois depuis la survenance de l’AVC. Reste que, d’une part, l’Office AI a examiné la situation de l’appelante de manière globale sans déterminer la part respective de chaque atteinte à la santé dans le calcul du taux d’invalidité. D’autre part, il est manifeste, à la lecture des rapports figurant au dossier AI et de l’expertise du Dr F [...], que l’appelante n’aurait pas perçu une rente entière en relation avec les seuls accidents intervenus en 2006 et l’épisode dépressif survenu en 2008 et pour lequel l’intéressée a recouvré une pleine capacité dès le 27 mai 2008. En réalité, on doit admettre, à la lecture de la décision de l’Office AI et des rapports médicaux précités, que l’appelante n’aurait perçu que trois-quarts de rente sans la survenance de l’AVC, qui constitue une autre maladie au sens du chiffre 12.2 CGA. En effet, le 27 mai 2008, l’assurée présentait une incapacité de travail en lien avec ses douleurs chroniques de 70 %. En revanche, elle ne présentait plus aucune incapacité en relation avec ses troubles psychiques. Ainsi, au moment de la survenance de l’AVC, elle conservait une capacité de travail de 30 %. Il s’ensuit qu’il n’y aurait pas eu aggravation ouvrant le droit à une rente entière (art. 88a al. 2 RAI [Règlement du 17 janvier 1961 sur l’assurance-invalidité, RS 831.201]) si l’appelante n’avait pas eu son AVC le 27 mai 2008 ; sans cet AVC, l’appelante aurait ainsi continué d’avoir droit à trois-quarts de rente. Or, le texte du chiffre 12.2 in fine des CGA est clair, dans la mesure où il permet l’exclusion de nouvelles indemnisations uniquement si la ou les premières maladies donnent déjà droit à une rente complète de l’AI. Tel n’est pas le cas en l’occurrence, dès lors que l’appelante n’aurait pas eu droit, sans la survenance de l’AVC, à une rente complète, celle-ci étant intervenue uniquement en raison de cette dernière maladie. Il en découle que l’appelante a droit, suite à l’AVC subi le 27 mai 2008 et en application des chiffres 12.1 et 12.2 CGA, à l’octroi d’indemnités. Selon le contrat d’assurance perte de gain conclu par les parties, elle a droit au paiement de 730 indemnités journalières, représentant le montant de 144'000 fr., étant précisé que le montant assuré est au maximum de 72'000 fr. par an. Bien fondé, ce moyen doit être admis.</w:t>
      </w:r>
    </w:p>
    <w:p>
      <w:r>
        <w:rPr>
          <w:b/>
        </w:rPr>
        <w:t>E. 5</w:t>
      </w:r>
    </w:p>
    <w:p>
      <w:r>
        <w:t>En conclusion, l’appel doit être admis et le jugement réformé en ce sens que l’intimée est la débitrice de l’appelante et lui doit prompt et immédiat paiement de la somme de 144'000 fr., avec intérêt à 5 % l’an dès le 28 mai 2009, et qu’elle lui doit des dépens de première instance, arrêtés à 2'500 francs. L’arrêt est rendu sans frais judiciaires de deuxième instance (art. 114 let. e CPC). Vu le sort de l’appel, l’appelante a droit à des dépens de deuxième instance, arrêtés à 2'000 fr. (art. 7 TDC [Tarif des dépens en matière civile du 23 novembre 2010, RS 270.11.6]),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