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82 vom 24. Januar 2012</w:t>
      </w:r>
    </w:p>
    <w:p>
      <w:r>
        <w:t>VD Tribunal cantonal, 2012-01-24, FR</w:t>
      </w:r>
    </w:p>
    <w:p>
      <w:r>
        <w:rPr>
          <w:b/>
        </w:rPr>
        <w:t xml:space="preserve">Quelle: </w:t>
      </w:r>
      <w:r>
        <w:t>https://mcp.opencaselaw.ch/entscheid/vd_findinfo_HC___2012___82</w:t>
      </w:r>
    </w:p>
    <w:p>
      <w:r>
        <w:t>FR: VD_FINDINFO HC / 2012 / 82 du 24 janvier 2012</w:t>
      </w:r>
    </w:p>
    <w:p>
      <w:r>
        <w:t>IT: VD_FINDINFO HC / 2012 / 82 del 24 gennaio 2012</w:t>
      </w:r>
    </w:p>
    <w:p>
      <w:pPr>
        <w:pStyle w:val="Heading2"/>
      </w:pPr>
      <w:r>
        <w:t>Regeste</w:t>
      </w:r>
    </w:p>
    <w:p>
      <w:r>
        <w:t>BAIL À LOYER, PROLONGATION DU BAIL À LOYER, RÉSILIATION, RÉSILIATION ABUSIVE, ANNULABILITÉ | 271a al. 1 let. d CO, 271a al. 3 let. a CO</w:t>
      </w:r>
    </w:p>
    <w:p>
      <w:pPr>
        <w:pStyle w:val="Heading2"/>
      </w:pPr>
      <w:r>
        <w:t>Erwägungen</w:t>
      </w:r>
    </w:p>
    <w:p>
      <w:r>
        <w:rPr>
          <w:b/>
        </w:rPr>
        <w:t>E. 1</w:t>
      </w:r>
    </w:p>
    <w:p>
      <w:r>
        <w:t>a) Le jugement attaqué a été rendu le 11 mars 2011, de sorte que les voies de droit sont régies par le CPC (Code de procédure civile suisse du 19 décembre 2008, RS 272), entré en vigueur le 1 er janvier 2011 (art. 405 al. 1 CPC ; ATF 137 III 127 ; ATF 137 III 130 ; Tappy, in CPC commenté, Bâle 2011, nn. 5 ss ad art. 405 CPC). b) Le litige porte sur l’annulation de résiliations de baux à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 TF 4A_634/2009 du 3 mars 2010 c. 1.1 ; SJ 2001 I 17 c. 1a ; ATF 119 Il 147 c. 1). En l’espèce, calculée conformément à l’art. 92 al. 1 CPC et aux principes qui viennent d’être exposés, la valeur litigieuse est supérieure à 10’000 fr., de sorte que c’est la voie de l’appel qui est ouverte (art. 308 al. 2 CPC). Formé en temps utile par la partie bailleresse qui y a un intérêt digne de protection (art. 59 al. 2 let. a CPC), l’appel est recevable à la forme.</w:t>
      </w:r>
    </w:p>
    <w:p>
      <w:r>
        <w:rPr>
          <w:b/>
        </w:rPr>
        <w:t>E. 2</w:t>
      </w:r>
    </w:p>
    <w:p>
      <w:r>
        <w:t>a) L’appel est une voie de droit offrant à l’autorité de deuxième instance un plein pouvoir d’examen. Celle-ci examine librement tous les griefs de l’appelant, qu’ils concernent les faits ou le droit (cf. art. 310 CPC). Ainsi, l’instance d’appel revoit les faits avec une cognition pleine et entière ; elle contrôle librement l’appréciation des preuves et les constatations de fait de la décision de première instance (HohI, Procédure civile, tome Il, 2 e éd., Berne 2010, n. 2399, p. 435). L’autorité d’appel applique le droit d’office : elle n’est pas liée par les motifs invoqués par les parties ou par le tribunal de première instance. Son pouvoir d’examen est plein et entier (HohI, op. cit., n. 2396, p. 435 ; Spühler, in Schweizerische Zivilprozessordnung, Bâle 2010, n. 1 ad art. 311 CPC, qui parle de « vollkommenes Rechtsmittel »). Quand, comme en l’espèce, les premiers juges devaient appliquer l’ancien droit de procédure cantonal conformément à l’art. 404 al. 1 CPC, la cour de céans contrôle s’ils ont correctement appliqué ce droit (cf. Tappy, Le droit transitoire applicable lors de l’introduction de la nouvelle procédure unifiée, in JT 2010 III 11, spéc. p. 30). b) Les faits et moyens de preuve nouveaux ne sont pris en compte en instance d’appel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w:t>
      </w:r>
    </w:p>
    <w:p>
      <w:r>
        <w:rPr>
          <w:b/>
        </w:rPr>
        <w:t>E. 3</w:t>
      </w:r>
    </w:p>
    <w:p>
      <w:r>
        <w:t>a) En l’espèce, l’appelant ne se plaint pas d’une violation du droit par les premiers juges (art. 310 let. a CPC), mais leur reproche uniquement d’avoir procédé à une constatation inexacte des faits (art. 310 let. b CPC). Il conteste la teneur des déclarations faites par son frère lorsque celui-ci a été entendu comme témoin à l’audience du 11 mars 2011, telle que reproduite dans le jugement attaqué (jugement, p. 6), ainsi que l’interprétation qu’en auraient faite les premiers juges. A cet égard, l’appelant fait valoir en premier lieu que le témoin est en incapacité de travail et qu’il bénéficie d’une rente de l’assurance-invalidité, de sorte que ses revenus sont extrêmement limités, et que c’est dans cette mesure qu’il a été contraint de retourner vivre chez ses parents. Selon l’appelant, cette situation ne saurait perdurer davantage, d’autant moins que le témoin subit cette situation, de même que ses parents. En définitive, à suivre l’appelant, on ne saurait considérer, à l’instar du jugement litigieux, que le témoin s’accommode d’une telle situation (appel, p. 2). En deuxième lieu, l’appelant soutient qu’il est inexact de considérer, à l’instar des premiers juges, que le témoin peut exercer son droit de visite sur son enfant dans ce cadre. L’appelant fait valoir qu’une récente interpellation du Service de la protection de la jeunesse a abouti à la conclusion que le témoin ne pourrait exercer son droit de visite tant qu’il ne disposerait pas d’une chambre pour accueillir son enfant. Selon l’appelant, le témoin se trouve ainsi privé de son droit de visite tant et aussi longtemps qu’il n’aura pas aménagé une chambre pour son enfant, ce qui est impossible tant qu’il demeurera logé chez ses parents (appel, p. 3). Relevant que les déclarations du témoin n’ont pas fait l’objet d’une verbalisation lors de son audition du 11 mars 2011 devant le Tribunal des baux, de sorte qu’il n’est pas possible, sur la base des pièces au dossier, de confronter les déclarations du témoin à leur interprétation telle que retenue dans le jugement attaqué, l’appelant sollicite une nouvelle audition de son frère en qualité de témoin dans le cadre de la présente procédure d’appel. Il sollicite en outre qu’un délai lui soit accordé pour produire toutes pièces utiles en relation avec le besoin urgent du bailleur à récupérer les locaux (appel, p. 3). b) Les premiers juges ont considéré à juste titre que la procédure, ouverte avant le 1 er janvier 2011, était régie par l’ancien droit cantonal de procédure jusqu’à la clôture de l’instance, conformément à l’art. 404 al. 1 CPC. C’est donc en conformité avec le droit cantonal applicable, qui ne prévoyait pas la verbalisation des témoignages, qu’ils n’ont pas dressé de procès-verbal de l’audition en qualité de témoin du frère de l’appelant. Si ce dernier souhaitait que les déclarations du témoin fussent protocolées, il lui appartenait de le requérir expressément du tribunal (ATF 126 I 15 ; TF 5P.263/2005 du 27 septembre 2005 c. 1.2 ; Abrecht, L’absence de verbalisation des témoignages en procédure civile et pénale vaudoise est-elle compatible avec l’article 4 Cst. ?, in JT 1997 II 34, spéc. pp. 43 s. et note des rédacteurs, pp. 46 ss, spéc. p. 48 ; JT 2001 III 80). Il n’y a ainsi pas lieu de réentendre le témoin T.________ en instance d’appel, dès lors que rien ne permet de retenir que la teneur de ses déclarations, telle que reproduite dans le jugement attaqué, ne correspondrait pas à ce qui a été dit lors de l’audience du 11 mars 2011. Par ailleurs, sous couvert de critiquer « l’interprétation » qu’auraient faite les premiers juges des déclarations du témoin, l’appelant cherche en réalité à introduire des allégations et moyens de preuve nouveaux, qui ne sont pas recevables en instance d’appel dans la mesure où l’appelant ne démontre nullement qu’ils ne pouvaient être invoqués ou produits devant la première instance (cf. ci-dessus c. 2b). c) Au regard des déclarations faites par le témoin T.________, au sujet desquelles le grief de constatation inexacte des faits ne peut qu’être écarté (cf. ci-dessus c. 3b), le Tribunal des baux a considéré que le besoin urgent qu’aurait le frère de l’appelant d’utiliser les locaux litigieux n’était pas établi, de sorte que les résiliations de bail, notifiées par l’appelant aux intimés alors qu’une procédure de conciliation en relation avec les baux résiliés était ouverte, devaient être annulées en application de l’art. 271a al. 1 let. d CO. Cette conclusion échappe à la critique et ne peut qu’être partagée. Il n’y a au demeurant pas lieu de fixer à l’appelant un délai pour produire toutes pièces utiles en relation avec le besoin urgent de son frère d’utiliser les locaux, dès lors que celles-ci devaient être produites en première instance, ou le cas échéant au plus tard en même temps que l’appel.</w:t>
      </w:r>
    </w:p>
    <w:p>
      <w:r>
        <w:rPr>
          <w:b/>
        </w:rPr>
        <w:t>E. 4</w:t>
      </w:r>
    </w:p>
    <w:p>
      <w:r>
        <w:t>En conclusion, l’appel doit être rejeté, en application de l’art. 312 al. 1 CPC, et le jugement confirmé. Les frais judiciaires de deuxième instance, arrêtés à 1'500 fr. (art. 62 al. 1 TFJC [Tarif des frais judiciaires civils du 28 septembre 2010, RSV 270.11.5]), sont mis à la charge de l’appelant, qui succombe (art. 106 al. 1 CPC). Il n’y a pas matière à l’allocation de dépens de deuxième instance, les intimés n’ayant pas été invités à se déterminer et n’ayant donc pas encouru de frais pour la procédure d’appel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