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81 vom 14. November 2011</w:t>
      </w:r>
    </w:p>
    <w:p>
      <w:r>
        <w:t>VD Tribunal cantonal, 2011-11-14, FR</w:t>
      </w:r>
    </w:p>
    <w:p>
      <w:r>
        <w:rPr>
          <w:b/>
        </w:rPr>
        <w:t xml:space="preserve">Quelle: </w:t>
      </w:r>
      <w:r>
        <w:t>https://mcp.opencaselaw.ch/entscheid/vd_findinfo_HC___2012___81</w:t>
      </w:r>
    </w:p>
    <w:p>
      <w:r>
        <w:t>FR: VD_FINDINFO HC / 2012 / 81 du 14 novembre 2011</w:t>
      </w:r>
    </w:p>
    <w:p>
      <w:r>
        <w:t>IT: VD_FINDINFO HC / 2012 / 81 del 14 novembre 2011</w:t>
      </w:r>
    </w:p>
    <w:p>
      <w:pPr>
        <w:pStyle w:val="Heading2"/>
      </w:pPr>
      <w:r>
        <w:t>Regeste</w:t>
      </w:r>
    </w:p>
    <w:p>
      <w:r>
        <w:t>CONTRAT DE TRAVAIL, GRATIFICATION, RÉCOMPENSE{GRATIFICATION}, TREIZIÈME SALAIRE | 18 CO, 322 CO, 322d CO</w:t>
      </w:r>
    </w:p>
    <w:p>
      <w:pPr>
        <w:pStyle w:val="Heading2"/>
      </w:pPr>
      <w:r>
        <w:t>Erwägungen</w:t>
      </w:r>
    </w:p>
    <w:p>
      <w:r>
        <w:rPr>
          <w:b/>
        </w:rPr>
        <w:t>E. 1</w:t>
      </w:r>
    </w:p>
    <w:p>
      <w:r>
        <w:t>a) Le jugement attaqué a été rendu le 17 mai 2011, de sorte que les voies de droit sont régies par le CPC (Code de procédure civile suisse du 19 décembre 2008, RS 272), entré en vigueur le 1 er janvier 2011 (art. 405 al. 1 CPC ; ATF 137 III 127 ; ATF 137 III 130 ; Tappy, in CPC commenté, Bâle 2011, nn. 5 ss ad art. 405 CPC). b) A teneur de l’art. 319 let. a CPC, le recours est recevable contre les décisions finales de première instance qui ne peuvent faire l’objet d’un appel. Tel est le cas en l’espèce, s’agissant d’un jugement rendu dans une affaire patrimoniale en matière de conflit du travail dont la valeur litigieuse, au dernier état des conclusions devant l’autorité de première instance, est inférieure à 10'000 fr. (cf. art. 308 al. 2 CPC). Le recours, écrit et motivé, doit être introduit auprès de l’autorité de recours dans les trente jours à compter de la notification de la décision motivée (art. 321 al. 1 CPC). Déposé en temps utile par une partie qui y a intérêt et dont les conclusions ne sont pas nouvelles (art. 326 al. 1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reproche aux premiers juges d’avoir considéré que l’intimée avait droit à une prime de fidélité ainsi qu’à un treizième salaire. Il soutient que, ce faisant, les premiers juges ont violé les art. 322 et 322d CO (Code des obligations suisse du 30 mars 1911, RS 220) ainsi que l’art. 43 CCT. Selon le recourant, les montants versés en fin d’année 2008 et 2009 correspondaient aux primes de fidélité dues en vertu de l’art. 43 CCT, nonobstant la mention « 13 ème salaire » apposée par erreur par son secrétariat sur les relevés de salaire de l’intimée, et les parties n’étaient jamais convenues du versement d’un treizième salaire, d’autant moins que les primes de fidélité constituaient en réalité une forme de treizième salaire. L’intimée soutient pour sa part que le paiement d’un treizième salaire a fait l’objet d’un accord oral et qu’il a d’ailleurs été versé en 2008, pro rata temporis, comme en 2009. b) Le CCT a été étendu à l’ensemble du territoire de la Confédération suisse par l’Arrêté du Conseil fédéral étendant le champ d’application du contrat collectif de travail pour la boucherie-charcuterie suisse du 18 février 2002, de sorte qu’il est applicable, de manière obligatoire, à l’ensemble des employeurs et des travailleurs concernés par l’extension, notamment aux parties à la présente procédure, ce qui n’est d’ailleurs pas contesté par celles-ci. A teneur de l’art. 43 CCT, dans sa version en vigueur en 2010, le travailleur a droit au paiement d’une prime annuelle de fidélité, calculée sur la base du salaire de décembre. La prime de fidélité doit être versée au plus tard le 15 décembre et correspondre à un demi-salaire la première année civile dans l’entreprise et à un salaire plein dès la deuxième année, le droit à la prime se calculant pro rata temporis pour l’année de l’engagement et pour l’année de départ. Il découle de ce qui précède que l’intimée avait droit au paiement d’une prime annuelle de fidélité ; sur la base d’un salaire brut de 3'000 fr., celle-ci s’élevait à 750 fr. en 2008 (6/12 e d’un demi-salaire), à 3'000 fr. en 2009 (un salaire) et à 2'250 fr. en 2010 (9/12 e d’un salaire), représentant un montant global de 6'000 francs. c) Reste à déterminer si l’intimée avait droit en sus, selon le contrat de travail conclu avec le recourant, à un treizième salaire. aa) En matière contractuelle, le juge doit recourir en premier lieu à l’interprétation dite subjective, c’est-à-dire rechercher la « réelle et commune intention des parties », le cas échéant empiriquement, sur la base d’indices (art. 18 al. 1 CO). Dans ce cadre, le juge s’intéressera en premier lieu aux termes utilisés et/ou aux comportements des parties, les termes utilisés étant pris au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nn. 32 ss ad art. 18 CO). S’il ne parvient pas à établir avec sûreté cette volonté effective, ou s’il constate que l’un des cocontractants n’a pas compris la volonté réelle exprimée par l’autre, il recherchera le sens que les parties pouvaient et devaient donner, selon les règles de la bonne foi, d’après le texte, le contexte et l’ensemble des circonstances,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(ATF 133 III 61 ; ATF 133 III 675, JT 2008 I 508 ; ATF 132 III 626 c. 3.1 et les réf. citées, JT 2007 I 423). Le juge doit ainsi rechercher comment une déclaration ou une attitude pouvait être comprise de bonne foi en fonction de l’ensemble des circonstances, les circonstances déterminantes étant celles qui ont précédé ou accompagné la manifestation de volonté (Winiger, op. cit., nn. 132 ss ad art. 18 CO). bb) Confrontés aux déclarations inconciliables des parties sur la question de savoir si l’intimée avait droit à un treizième salaire, les premiers juges ont cherché à déterminer la réelle et commune intention des parties. Ce faisant, ils ont retenu, comme indices et éléments de fait de nature à emporter leur conviction, les déclarations constantes de l’intimée, qui a toujours affirmé que les parties étaient convenues d’un treizième salaire, la mention « 13 ème salaire » indiquée par l’employeur lui-même en référence aux deux versements bancaires effectués en fin d’année en faveur de l’intimée et, enfin, le fait que les montants en question ne correspondent pas aux montants des primes de fidélité prévues par l’art. 43 CCT, mais qu’ils concordent avec les montants qui seraient dus, le cas échéant, au titre de treizième salaire. Les premiers juges ont relevé par ailleurs que le recourant avait soutenu plusieurs versions différentes s’agissant de la nature des montants versés à fin 2008 et 2009. Les premiers juges en ont conclu que ces montants avaient été versés à titre de treizième salaire et que l’on devait en déduire que le versement d’un treizième salaire avait fait l’objet d’un accord oral, de sorte que l’intimée avait droit à une telle prestation, en sus des primes de fidélité dues en application de l’art. 43 CCT. cc) En l’occurrence, la prime annuelle de fidélité prévue par l’art. 43 CCT ne constitue pas un élément de salaire accessoire et exceptionnel (cf. Wyler, Droit du travail, Berne 2008, pp. 164 ss et les réf. citées), mais présente toutes les caractéristiques d’un treizième salaire, puisqu’elle est clairement déterminée dans cette disposition, que son montant, correspondant à un salaire mensuel (exception faite de la première année de service), et son échéance inconditionnelle, soit le 15 décembre, y sont fixés, et qu’elle ne fait appel à aucun critère laissé à l’appréciation de l’employeur (cf. Carruzzo, Le contrat individuel de travail, Zurich 2009, pp. 138 ss). Dès lors qu’une telle prime était due à l’intimée, il est difficile d’admettre que le recourant se soit engagé à lui verser en sus un treizième salaire. S’il n’est certes pas exclu que les parties soient convenues qu’outre cette prime, un treizième salaire était dû par l’employeur, un tel accord serait bien extraordinaire, dès lors que la prime présente déjà toutes les caractéristiques d’un treizième salaire, et ne pourrait être tenu pour établi que s’il était exprès. Or, contrairement à ce qu’ont estimé les premiers juges, la preuve d’un tel accord n’a pas été rapportée à satisfaction de droit, les éléments au dossier étant à cet égard insuffisants. Au vu des circonstances, on doit plutôt admettre que le recourant a versé la prime de fidélité à l’intimée, comme s’il s’agissait d’un treizième salaire, conformément aux termes utilisés dans les relevés bancaires. Du reste, si la prime versée pour la première année, où l’employeur a versé un demi-salaire plein, nonobstant la demi-année manquante, était erronée, le montant de la prime versée en 2009 était bien celui prévu par l’art. 43 CCT. Au demeurant, on relèvera que c’est sur sa part au treizième salaire pour l’année 2010, pro rata temporis, que portait la réclamation initiale de l’intimée, formulée dans son courrier du 2 novembre 2010. d) Au vu de ce qui précède, il faut considérer que l’intimée ne peut faire valoir un droit au treizième salaire en sus de son droit à la prime de fidélité. Au titre de cette prime, l’intimée avait droit à un montant global brut de 6'000 fr. pour toute la durée des rapports de travail (cf. ci-dessus c. 3b in fine) et n’a perçu qu’un montant net de 3'996 fr. (1'332 fr. en 2008 et 2'664 fr. en 2009), soit un montant brut de 4'500 francs. Aussi, le recourant est le débiteur de l’intimée d’un montant brut de 1'500 francs.</w:t>
      </w:r>
    </w:p>
    <w:p>
      <w:r>
        <w:rPr>
          <w:b/>
        </w:rPr>
        <w:t>E. 4</w:t>
      </w:r>
    </w:p>
    <w:p>
      <w:r>
        <w:t>En conclusion, le recours doit être admis et le jugement réformé au chiffre I de son dispositif en ce sens que le recourant doit à l’intimée prompt et immédiat paiement de la somme brute de 1'500 fr., sous déduction des charges sociales usuelles. S’agissant d’un conflit du travail dont la valeur litigieuse est inférieure à 30'000 fr., l’arrêt doit être rendu sans frais judiciaires (art. 114 let. c CPC). Vu le sort du recours, le recourant, qui a procédé par l’intermédiaire d’un représentant professionnel, a droit à des dépens de deuxième instance, arrêtés à 690 fr. (art. 8 TDC [Tarif des dépens en matière civile du 23 novembre 2010, RSV 270.11.6]), TVA et débours compris, à charge de l’intimée. Par ces motifs, la Chambre des recours civile du Tribunal cantonal, statuant à huis clos, prononce : I. Le recours est admis. II. Le jugement est réformé au chiffre I de son dispositif comme il suit : I. dit que R.________ doit à I.________ prompt et immédiat paiement de la somme de 1'500 fr. (mille cinq cents francs) brut, sous déduction des charges sociales usuelles. Le jugement est confirmé pour le surplus. III. L’arrêt est rendu sans frais. IV. L’intimée I.________ doit verser au recourant R.________ la somme de 690 fr. (six cent nonante francs) à titre de dépens de deuxième instance. V. L’arrêt motivé est exécutoire. Le président : Le greffier : Du 16 novembre 2011 Le dispositif de l'arrêt qui précède est communiqué par écrit aux intéressés. Le greffier : Du L'arrêt qui précède, dont la rédaction a été approuvée à huis clos, est notifié en expédition complète, par l'envoi de photocopies, à : ‑ Me Sandra Genier Müller (pour R.________) ‑ Syndicat Unia (pour I.________)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