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2012 / 79 vom 29. November 2011</w:t>
      </w:r>
    </w:p>
    <w:p>
      <w:r>
        <w:t>VD Tribunal cantonal, 2011-11-29, FR</w:t>
      </w:r>
    </w:p>
    <w:p>
      <w:r>
        <w:rPr>
          <w:b/>
        </w:rPr>
        <w:t xml:space="preserve">Quelle: </w:t>
      </w:r>
      <w:r>
        <w:t>https://mcp.opencaselaw.ch/entscheid/vd_findinfo_HC___2012___79</w:t>
      </w:r>
    </w:p>
    <w:p>
      <w:r>
        <w:t>FR: VD_FINDINFO HC / 2012 / 79 du 29 novembre 2011</w:t>
      </w:r>
    </w:p>
    <w:p>
      <w:r>
        <w:t>IT: VD_FINDINFO HC / 2012 / 79 del 29 novembre 2011</w:t>
      </w:r>
    </w:p>
    <w:p>
      <w:pPr>
        <w:pStyle w:val="Heading2"/>
      </w:pPr>
      <w:r>
        <w:t>Regeste</w:t>
      </w:r>
    </w:p>
    <w:p>
      <w:r>
        <w:t>MANDAT, RÉSILIATION EN TEMPS INOPPORTUN, LOI FÉDÉRALE CONTRE LA CONCURRENCE DÉLOYALE, MÉDECIN SPÉCIALISTE, PROTECTION DE LA PERSONNALITÉ, RESPONSABILITÉ DÉLICTUELLE | 28 CC, 28a CC, 404 al. 1 CO, 404 al. 2 CO, 41 CO, 49 CO, 3 al. 1 let. a LCD, 9 LCD, 308 al. 1 let. a CPC (CH), 310 CPC (CH), 312 al. 1 CPC (CH)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En définitive, l'appel, mal fondé, doit être rejeté en application de l'art. 312 al. 1 CPC, et le jugement attaqué confirmé. b) L'appelant, qui succombe, doit supporter les frais judiciaires de deuxième instance (art. 106 al. 1 CPC), arrêtés à 7'350 fr. (art. 62 al. 1 et 2 TFJC [tarif du 28 septembre 2010 des frais judiciaires civils; RSV 270.11.5]), qui sont compensés avec l'avance du même montant que l'appelant a fournie (art. 111 al. 1 CPC). c) Il n'y a pas lieu d'allouer de dépens de deuxième instance, dès lors que les intimés n'ont pas été invités à se déterminer sur l'appel et n'ont donc pas encouru de frais pour la procédure de deuxième instance (cf. art. 95 al. 3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