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779 vom 14. Januar 2013</w:t>
      </w:r>
    </w:p>
    <w:p>
      <w:r>
        <w:t>VD Tribunal cantonal, 2013-01-14, FR</w:t>
      </w:r>
    </w:p>
    <w:p>
      <w:r>
        <w:rPr>
          <w:b/>
        </w:rPr>
        <w:t xml:space="preserve">Quelle: </w:t>
      </w:r>
      <w:r>
        <w:t>https://mcp.opencaselaw.ch/entscheid/vd_findinfo_HC___2012___779</w:t>
      </w:r>
    </w:p>
    <w:p>
      <w:r>
        <w:t>FR: VD_FINDINFO HC / 2012 / 779 du 14 janvier 2013</w:t>
      </w:r>
    </w:p>
    <w:p>
      <w:r>
        <w:t>IT: VD_FINDINFO HC / 2012 / 779 del 14 gennaio 2013</w:t>
      </w:r>
    </w:p>
    <w:p>
      <w:pPr>
        <w:pStyle w:val="Heading2"/>
      </w:pPr>
      <w:r>
        <w:t>Regeste</w:t>
      </w:r>
    </w:p>
    <w:p>
      <w:r>
        <w:t>MESURE PROVISIONNELLE, OBLIGATION D'ENTRETIEN, DOMICILE À L'ÉTRANGER | 163 CC, 176 al. 1 ch. 1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exclusivement patrimoniales pour autant que la valeur litigieuse au dernier état des conclusions devant l'autorité inférieure soit de 10'000 fr. au moins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de mesures provisionnelles et de mesures protectrices de l’union conjugale (art. 84 al. 2 LOJV [Loi d’organisation judiciaire du 12 décembre 1979; RSV 173.01]). Formé en temps utile par une partie qui y a intérêt (art. 59 al. 2 let. a CPC) et portant sur des conclusions ayant une valeur litigieuse, capitalisée selon l’art. 92 CPC, supérieure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a) Dans un premier moyen, l'appelante reproche au premier juge d'avoir pris en considération les critères applicables à l'entretien après divorce (art. 125 CC [(Code civil suisse du 10 décembre 1907; RS 210)]) pour déterminer l'éventuelle contribution d'entretien à fixer en sa faveur. En effet, elle estime que le lien conjugal des époux n'était pas irrémédiablement rompu dans la mesure où les parties avaient envisagé de reprendre la vie commune en 2007 et que l'intimé avait attendu le 9 février 2012 pour déposer une demande unilatérale en divorce. L'appelante considère ainsi que le premier juge aurait dû calculer une pension alimentaire en sa faveur selon la méthode dite du minimum vital, avec répartition de l'excédent. b) Selon l'art. 176 al. 1 ch. 1 CC – applicable par analogie lorsque le juge ordonne des mesures provisionnelles dans un procès en divorce (art. 276 al. 1 CC) –, le juge fixe la contribution pécuniaire à verser par l'une des parties à l'autre. Il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divorce (art. 125 CC; ATF 137 III 385 c. 3.1.; TF 5A_301/2011 du 1er décembre 2011 c. 5.1; TF 5A_475/2011 du 12 décembre 2011 c. 4.1). La prise en considération de ces critères ne signifie cependant pas que le juge des mesures provisionnelles puisse trancher, même sous l'angle de la vraisemblance, les questions de fond, objet du procès en divorce, en particulier celle de savoir si le mariage a influencé concrètement la situation financière du conjoint (ATF 137 III 385 c. 3.1.; TF 5A_502/2010 du 25 juillet 2011 c. 3.2.1., in FamPra.ch 2011 no 67 p. 993; TF 5A_591/2011 du 7 décembre 2011 c. 4.1.1. et réf.; TF 5A 522/2011 du 18 janvier 2012 c. 4.1.). Le principe du clean break ne joue par conséquent aucun rôle dans le cadre des mesures provisionnelles (cf. TF 5A_228/2012 du 11 juin 2012 c. 4.3).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 proportion équitable (Perrin, La méthode du minimum vital, in SJ 1993, p. 447). Dans les charges incompressibles des époux, il y a lieu de prendre en compte notamment le montant de base mensuel fixé dans les lignes directrices élaborées par la Conférence des préposés aux poursuites et faillite de Suisse pour le calcul du minimum d’existence en matière de poursuite (minimum vital) selon l’art. 93 LP – montant qui est actuellement fixé à 1'200 fr. pour un débiteur vivant seul, à 850 fr. pour un débiteur vivant en concubinage, à 400 fr. pour chaque enfant de moins de 10 ans et à 600 fr. pour chaque enfant de plus de 10 ans –, les frais de logement, les coûts de santé (avant tout les primes d’assurance maladie obligatoire), les frais de déplacement et de repas hors du domicile, s’ils sont indispensables à l’exercice de la profession, ainsi que les dettes contractées d’entente pour l’entretien du ménage (Chaix, op. cit., n. 9 ad art. 176 CC et les réf. citées). c) Le premier juge a considéré que le lien conjugal des parties était irrémédiablement rompu et que les critères de l'art. 125 CC devaient être appliqués au cas d'espèce, les parties étant séparées depuis l'année 2004 sans jamais avoir repris la vie commune. Conformément à la jurisprudence citée ci-dessus (ch. 3 let. b), la prise en compte des critères applicables à l'entretien après divorce ne saurait libérer l'intimé d'une éventuelle obligation d'entretien envers son épouse au stade des mesures provisionnelles; c'est ainsi à tort que le premier juge a appliqué les critères de l'art. 125 CC pour refuser de fixer une contribution d'entretien en faveur de l'appelante. Cela étant, dans son ordonnance du 9 novembre 2012, la Présidente du Tribunal civil de l'arrondissement de l'Est vaudois a analysé la situation de la partie intimée. Elle a estimé que les revenus de l'intimé ne lui permettaient pas de s'acquitter d'une contribution d'entretien, ce d'autant plus que l'appelante disposait d'autres moyens pour bénéficier d'un revenu régulier. Ainsi, en appliquant la méthode du minimum vital, le premier juge serait parvenu au même résultat qu'en appliquant les critères issus de l'art. 125 CC et aucune pension n'aurait été octroyée à O.________. Mal fondé, le moyen doit être rejeté.</w:t>
      </w:r>
    </w:p>
    <w:p>
      <w:r>
        <w:rPr>
          <w:b/>
        </w:rPr>
        <w:t>E. 4</w:t>
      </w:r>
    </w:p>
    <w:p>
      <w:r>
        <w:t>a) Dans un deuxième moyen, l'appelante conteste l'absence de revenu hypothétique imputé à l'intimé, celui-ci ayant quitté la Suisse et son emploi pour des raisons inconnues. Selon l'appelante, son époux serait en mesure de retrouver en Suisse un poste et un salaire similaires à ceux qu'il avait avant son départ à l'étranger, soit un poste de collaborateur auprès de la Fondation [...] pour un salaire de l'ordre de 5'000 francs. Elle ajoute que le montant du salaire que l'intimé prétend percevoir en Grèce, soit environ 500 euros par mois, n'est pas crédible. b) Après le dépôt d'une demande de divorce, une reprise de la vie commune n'est guère plus envisageable et l'objectif pour le conjoint de reprendre ou d'étendre son activité lucrative et d'assurer ainsi son indépendance financière apparaît déjà important dans le cadre des mesures provisoires (ATF 130 III 537 c. 3.2). Dans ces conditions,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 ème éd., n. 10 ad art. 137 CC). Le débiteur des contributions d'entretien est en principe libre de transférer son domicile à l'étranger. La perte de revenu qui en résulte ne peut cependant être invoquée au détriment du créancier d'entretien – en particulier de l'enfant mineur - lorsque le débiteur peut continuer de réaliser en Suisse le revenu dont il bénéficiait jusqu'ici et qu'il est possible de l'exiger de lui (TF 5A. 98/2007 du 8 juin 2007 c. 3. 3; TF 5A_513/2011 du 17 octobre 2012 c. 4). Le débiteur d'entretien vivant à l'étranger ne peut toutefois se voir imputer un revenu hypothétique de niveau suisse, s'il ne peut être exigé de lui de s'établir en Suisse et s'il avait suffisamment de raisons de quitter la Suisse. Dans un tel cas, il convient de se baser sur le revenu que le débiteur d'entretien perçoit ou pourrait percevoir en son lieu de séjour étranger (FamPra.ch. 2011 p. 510). c) En l'espèce, l'appelante avait renoncé à toute contribution d'entretien en sa faveur déjà bien avant le départ de l'intimé à l'étranger. Aussi, l'on ne saurait reprocher à celui-ci d'avoir intentionnellement cherché à éviter la réalisation d'un revenu en Suisse au détriment de l'appelante, ce d'autant que le couple n'avait pas d'enfant en commun à la charge de celle-ci. Au vu du dossier, l'intimé, qui a notamment fait état du harcèlement continuel et maladif de l'appelante à son endroit, vit en Grèce avec sa compagne actuelle où tous les deux travaillent, et peut ainsi se prévaloir de raisons suffisantes l'ayant amené à s'établir dans ce pays. Conformément à la jurisprudence, il y a, dans un tel cas, lieu de se baser sur le revenu que l'intimé perçoit en Grèce. Or, les attestations concernant les revenus dont a bénéficié l'intimé en 2011 et 2012, en sa qualité d'enseignant de musique et peinture, produites à l'appui de sa demande en divorce, corroborent le montant mensuel moyen de 500 euros retenu par le premier juge. Le fait – contesté par l'appelante – que l'intimé prétend verser 200 euros par mois à ses enfants mineurs n'est dès lors pas déterminant, le revenu retenu ne permettant de toute manière pas d'octroyer une pension à l'appelante. Mal fondé, le moyen doit être rejeté.</w:t>
      </w:r>
    </w:p>
    <w:p>
      <w:r>
        <w:rPr>
          <w:b/>
        </w:rPr>
        <w:t>E. 5</w:t>
      </w:r>
    </w:p>
    <w:p>
      <w:r>
        <w:t>Dès lors que l'intimé se trouve dans l'impossibilité de contribuer à l'entretien de l'appelante au vu de sa situation financière, il n'y a pas lieu d'examiner plus avant les considérations du premier juge au sujet de la situation personnelle de celle-ci, si ce n'est de retenir au vu dossier qu'elle perçoit des revenus locatifs mensuels bruts de 2'400 euros lui permettant de prendre en charge l'entretien de l'immeuble dont elle est propriétaire et de participer partiellement aux besoins de l'association qui l'occupe.</w:t>
      </w:r>
    </w:p>
    <w:p>
      <w:r>
        <w:rPr>
          <w:b/>
        </w:rPr>
        <w:t>E. 6</w:t>
      </w:r>
    </w:p>
    <w:p>
      <w:r>
        <w:t>En conclusion, l'appel doit être rejeté en application de l'art. 312 al. 1 CPC et l'ordonnance attaquée confirmée. La condition de l'art. 117 let. b CPC n'étant pas remplie, la requête d'assistance judiciaire doit être rejetée. Les frais judiciaires de deuxième instance, arrêtés à 600 fr. (art. 65 al. 2 TFJC [Tarif des frais judiciaires civils du 28 septembre 2010; RSV 270.11.5]), doivent être mis à la charge de l'appelante, qui succombe (art. 106 al. 1 CPC). L'intimé n'a pas été invité à se déterminer; il n'y a ainsi pas lieu à l'allocation de dépens de deuxième instance en sa faveur. Par ces motifs, la Juge déléguée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l'appelante. V. L'arrêt est exécutoire. La juge déléguée : Le greffier : Du L'arrêt qui précède, dont la rédaction a été approuvée à huis clos, est notifié en expédition complète, par l'envoi de photocopies, à : ‑ Me Mireille Loroch (pour O.________), ‑ Me Charles Munoz (pour U.________).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