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775 vom 12. November 2012</w:t>
      </w:r>
    </w:p>
    <w:p>
      <w:r>
        <w:t>VD Tribunal cantonal, 2012-11-12, FR</w:t>
      </w:r>
    </w:p>
    <w:p>
      <w:r>
        <w:rPr>
          <w:b/>
        </w:rPr>
        <w:t xml:space="preserve">Quelle: </w:t>
      </w:r>
      <w:r>
        <w:t>https://mcp.opencaselaw.ch/entscheid/vd_findinfo_HC___2012___775</w:t>
      </w:r>
    </w:p>
    <w:p>
      <w:r>
        <w:t>FR: VD_FINDINFO HC / 2012 / 775 du 12 novembre 2012</w:t>
      </w:r>
    </w:p>
    <w:p>
      <w:r>
        <w:t>IT: VD_FINDINFO HC / 2012 / 775 del 12 novembre 2012</w:t>
      </w:r>
    </w:p>
    <w:p>
      <w:pPr>
        <w:pStyle w:val="Heading2"/>
      </w:pPr>
      <w:r>
        <w:t>Regeste</w:t>
      </w:r>
    </w:p>
    <w:p>
      <w:r>
        <w:t>ACTION EN CONTESTATION DE L'ÉTAT DE COLLOCATION, VALEUR LITIGIEUSE, COMPÉTENCE | 250 LP, 308 al. 2 CPC (CH), 319 let. a CPC (CH)</w:t>
      </w:r>
    </w:p>
    <w:p>
      <w:pPr>
        <w:pStyle w:val="Heading2"/>
      </w:pPr>
      <w:r>
        <w:t>Erwägungen</w:t>
      </w:r>
    </w:p>
    <w:p>
      <w:r>
        <w:rPr>
          <w:b/>
        </w:rPr>
        <w:t>E. 1.1</w:t>
      </w:r>
    </w:p>
    <w:p>
      <w:r>
        <w:t>L'appel est ouvert contre les décisions finales de première instance (art. 308 al. 1 let. a CPC [(Code de procédure civile du 19 décembre 2008; RS 272]),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l'espèce, la valeur litigieuse est inférieure à 10'000 fr., comme on le verra plus loin en tranchant la question au fond. Seule la voie subsidiaire du recours au sens de l'art. 319 let a CPC est dès lors ouverte.</w:t>
      </w:r>
    </w:p>
    <w:p>
      <w:r>
        <w:rPr>
          <w:b/>
        </w:rPr>
        <w:t>E. 1.2</w:t>
      </w:r>
    </w:p>
    <w:p>
      <w:r>
        <w:t>Le recours, écrit et motivé, est introduit dans les trente jours à compter de la notification de la décision attaquée ou de la notification postérieure de la motivation; il est de dix jours pour les décisions prises en procédure sommaire et les ordonnances d'instruction (art. 321 al. 1 et 2 CPC). La décision attaquée a été prise dans le cadre d'une cause soumise à la procédure simplifiée (art. 243 al. 1 et 2 CPC), de sorte que le délai de 30 jours est applicable. Interjeté en temps utile par une partie qui y a intérêt (art. 59 al. 2 let. a CPC) et dûment motivé, le recours est formellement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w:t>
      </w:r>
    </w:p>
    <w:p>
      <w:r>
        <w:rPr>
          <w:b/>
        </w:rPr>
        <w:t>E. 3</w:t>
      </w:r>
    </w:p>
    <w:p>
      <w:r>
        <w:t>Les recourantes invoquent une violation des art. 18, 59 et 60 CPC d'une part, et de l'art. 250 LP (loi sur la poursuite pour dettes et la faillite du 1 avril 1889; RS 281.1) d'autre part. Elles soutiennent que le premier juge ne pouvait, alors que la défenderesse avait déjà procédé sans émettre de réserve sur la compétence du juge de paix, déclarer irrecevable l'acte déposé par les demanderesses et que le juge de paix était, au demeurant, compétent pour examiner l'action en contestation de l'état de collocation. Il sied dès lors d'examiner en premier lieu si une telle action relève de la compétence du juge de paix lorsque le dividende probable de la créance contestée est de 0%. Dans une jurisprudence, certes déjà ancienne mais pas modifiée depuis lors, le Tribunal fédéral a estimé que, lorsque, dans une action en contestation de l'état de collocation, le dividende prévisible est de zéro, on doit en pareil cas admettre, en raison des effets de l'acte de défaut de biens, que le procès a une valeur litigieuse minime correspondant à l'intérêt plutôt symbolique que présente un litige (ATF 82 III 94, JT 1956 II 122; Tappy, CPC commenté, n. 83 ad art. 91 CPC). Saisie d'un pareil cas, la Chambre des recours du Tribunal cantonal, dans une décision d'ailleurs citée par le premier juge dans son jugement attaqué, a retenu que lorsque l'administration de la masse évaluait le dividende probable à zéro, c'est ce dividende-là qui déterminait la valeur litigieuse (CREC 14 juillet 1981/211 c. 3 p.11) Le premier juge a ainsi interprété de façon erronée l'arrêt cantonal en retenant que lorsque le dividende est évalué à 0%, on doit admettre qu'il équivaut en pratique à 1%. Un dividende de zéro détermine, pour des raisons d'intérêt à procéder à une contestation de l'état de collocation d'une créance, la compétence du juge de paix. Le grief est donc fondé et le recours doit être admis sans qu'il soit nécessaire d'examiner le premier moyen soulevé par les recourantes, à savoir l'acceptation tacite, par la défenderesse, de la compétence du juge de paix.</w:t>
      </w:r>
    </w:p>
    <w:p>
      <w:r>
        <w:rPr>
          <w:b/>
        </w:rPr>
        <w:t>E. 4</w:t>
      </w:r>
    </w:p>
    <w:p>
      <w:r>
        <w:t>En conclusion, le recours doit être admis, le jugement annulé et la cause renvoyée au Juge de paix pour nouvelle décision dans le sens des considérants (art. 327 al. 3 let. a CPC). Les frais judiciaires de deuxième instance, arrêtés à 100 fr. (art. 69 al. 1 TFJC [tarif du 28 septembre 2010 des frais judiciaires civils; RS 270.11.5]) sont mis, vu l'issue du recours, à la charge de l'intimée (art. 106 al. 1 CPC), celle-ci devant rembourser au recourant son avance de frais (art. 111 al. 2 CPC), par 100 fr., et lui verser des dépens de deuxième instance, fixés à 595 fr. (art. 8 TDC [tarif des dépens en matière civile du 23 novembre 2010; RSV 270.11.6]). Par ces motifs, la Chambre des recours civile du Tribunal cantonal, statuant à huis clos, prononce : I. Le recours est admis. II. Le jugement est annulé, la cause étant renvoyée au Juge de paix du district de Lausanne pour nouvelle décision dans le sens des considérants. III. Les frais judiciaires de deuxième instance, arrêtés à 100 fr. (cent francs), sont mis à la charge de l'intimée. IV. L'intimée E.________SA doit verser aux recourantes U.________SA et J.________SA, solidairement entre elles, la somme de 695 fr. (six cent nonante-cinq francs), à titre de dépens et de remboursement d'avance de frais de deuxième instance. V. L'arrêt motivé est exécutoire. Le président :               Le greffier : Du 13 novembre 2012 Le dispositif de l'arrêt qui précède est communiqué par écrit aux intéressés. Le greffier : Du L'arrêt qui précède, dont la rédaction a été approuvée à huis clos, est notifié en expédition complète, par l'envoi de photocopies, à : ‑ Me Pierre-Xavier Luciani (pour U.________SA et J.________SA), ‑ Me François Bellanger (pour E.________SA).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