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774 vom 6. Dezember 2012</w:t>
      </w:r>
    </w:p>
    <w:p>
      <w:r>
        <w:t>VD Tribunal cantonal, 2012-12-06, FR</w:t>
      </w:r>
    </w:p>
    <w:p>
      <w:r>
        <w:rPr>
          <w:b/>
        </w:rPr>
        <w:t xml:space="preserve">Quelle: </w:t>
      </w:r>
      <w:r>
        <w:t>https://mcp.opencaselaw.ch/entscheid/vd_findinfo_HC___2012___774</w:t>
      </w:r>
    </w:p>
    <w:p>
      <w:r>
        <w:t>FR: VD_FINDINFO HC / 2012 / 774 du 6 décembre 2012</w:t>
      </w:r>
    </w:p>
    <w:p>
      <w:r>
        <w:t>IT: VD_FINDINFO HC / 2012 / 774 del 6 dicembre 2012</w:t>
      </w:r>
    </w:p>
    <w:p>
      <w:pPr>
        <w:pStyle w:val="Heading2"/>
      </w:pPr>
      <w:r>
        <w:t>Regeste</w:t>
      </w:r>
    </w:p>
    <w:p>
      <w:r>
        <w:t>AVANCE DE FRAIS | 103 CPC (CH), 296 CPC (CH), 319 let. b ch. 1 CPC (CH), 98 CPC (CH), 10 TFJC (2010), 54 TFJC (2010), 9 al. 1 TFJC (2010)</w:t>
      </w:r>
    </w:p>
    <w:p>
      <w:pPr>
        <w:pStyle w:val="Heading2"/>
      </w:pPr>
      <w:r>
        <w:t>Erwägungen</w:t>
      </w:r>
    </w:p>
    <w:p>
      <w:r>
        <w:rPr>
          <w:b/>
        </w:rPr>
        <w:t>E. 1</w:t>
      </w:r>
    </w:p>
    <w:p>
      <w:r>
        <w:t>L’art. 319 al. 1 let. b CPC (Code de procédure civile du 19 décembre 2008 ; RS 272) ouvre la voie du recours contre les décisions et ordonnances d’instruction de première instance pour lesquelles un recours est expressément prévu par la loi. L’art. 103 CPC dispose que les décisions relatives aux avances de frais peuvent faire l’objet d’un recours. En outre, ces décisions comptent parmi les ordonnances d’instruction visées par l’art. 319 let. b CPC (Jeandin, in CPC commenté, Bâle 2011, n. 14 ad art. 319 CPC), lesquelles sont soumises à un délai de recours de dix jours (art. 321 al. 2 CPC). Motivé et déposé en temps utile par un justiciable qui y a intérêt (art. 59 al. 2 let. a CPC), le recours est formellement recevable.</w:t>
      </w:r>
    </w:p>
    <w:p>
      <w:r>
        <w:rPr>
          <w:b/>
        </w:rPr>
        <w:t>E. 2</w:t>
      </w:r>
    </w:p>
    <w:p>
      <w:r>
        <w:t>Le recours est recevable pour violation du droit (art. 320 let. a CPC) et constatation manifestement inexacte des faits (art. 320 let. b CPC). S'agissant de la violation du droit, l'autorité de recours dispose d'un plein pouvoir d'examen (Spühler, BSK ZPO, n. 12 ad art. 319 CPC);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ne permet que de corriger une erreur évidente, la notion se recoupant en définitive avec l'appréciation arbitraire des preuves (Jeandin, CPC commenté, nn. 5 et 6 ad art. 320 CPC;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Il s'ensuit que les recourants ne peuvent discuter librement les faits.</w:t>
      </w:r>
    </w:p>
    <w:p>
      <w:r>
        <w:rPr>
          <w:b/>
        </w:rPr>
        <w:t>E. 3</w:t>
      </w:r>
    </w:p>
    <w:p>
      <w:r>
        <w:t>a) La recourante fait valoir que, bien que les conclusions relatives aux contributions en faveur de la recourante et sa fille semblent élevées, l’avance de frais fixée serait arbitraire et excessive. Selon la recourante, l'avance de frais représenterait quatre fois le montant de son revenu mensuel de l'ordre de 8’000 fr. et a dès lors été fixée sans tenir compte de sa situation financière, en particulier du fait qu’elle ne perçoit actuellement aucune contribution d’entretien pour elle-même. Elle soutient que le Tribunal d'arrondissement aurait dû requérir une avance de frais inférieure à 10’000 fr., ce qui se justifierait en équité. b/aa) 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in CPC commenté, Bâle 2011, n. 3 ad art. 98 CPC).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in Kommentar zur Schweizerischen Zivilprozessordnung [ZPO], Zurich 2010, n. 10 ad art. 98 CPC). Selon le Message du Conseil fédéral, le tribunal peut s’écarter du principe pour des raisons d’équité. Il mentionne à titre d’exemple l’hypothèse où la partie demanderesse disposerait d’un revenu à peine supérieur au minimum vital mais ne remplirait pas les conditions d’octroi de l’assistance judiciaire, et où le montant de l’avance devrait être réduit (Message du Conseil fédéral du 28 juin 2006 relatif au code de procédure civile suisse, FF 2006, pp. 6905-6906 ; Tappy, op. cit., n. 8 ad art. 98 CPC). bb) Pour déterminer le montant des frais judiciaires présumés, il y a lieu de se référer au tarif des frais prévu par le droit cantonal (art. 96 CPC). En droit vaudois, l’art. 9 al. 1 TFJC (Tarif des frais judiciaires civils du 28 septembre 2010, RSV 270.11.5) prévoit que la partie qui saisit l’autorité judiciaire par une demande doit fournir une avance d’un montant correspondant à la totalité de l’émolument de décision prévu pour ses conclusions. Selon l’art. 10 TFJC, seuls des motifs d’équité justifient la renonciation à exiger tout ou partie de l’avance de frais. Dans les procédures en droit matrimonial, l’art. 54 TFJC prévoit que l’émolument forfaitaire de décision est fixé à 3’000 fr. (al. 1); il peut être augmenté jusqu’à 35’000 fr. si l’un au moins des montants figurant dans les conclusions ou fixé par convention ou alloué par jugement dépasse 2’400 fr. par mois pour les contributions d’entretien en faveur d’une partie ou d’un enfant ou 240’000 fr. pour une prétention en capital, y compris lorsqu’elle concerne le bénéfice de l’union conjugale (al. 3 let. b ). c/aa) En l’espèce, la recourante a conclu à ce que l'intimé contribue à l'entretien de sa fille par le versement d'une contribution d'entretien de 15'000 fr. par mois et à son propre entretien par le versement d'un montant mensuel de 10'000 fr., ce qui représente au total une somme dix fois supérieure au montant de 2'400 fr. prévu à l'art. 54 al. 3 let. b TFJC. En outre, la contribution d'entretien allouée dans le cadre des mesures provisionnelles, à savoir 6'200 fr., est également largement supérieure au montant de 2'400 francs. Vu ces éléments, la quotité de l'avance de frais, fixée à 35'000 fr., respecte les principes énoncés ci-dessus et apparaît comme étant justifiée. bb) La recourante soutient que sa situation financière l’empêche de verser une telle somme sans toutefois documenter ses allégations. On ne saurait dès lors considérer qu'elle ne dispose pas des moyens lui permettant de verser l'avance de frais (CREC 6 juin 2012/209 c. 3c). Au contraire, il ressort du dossier, et notamment de l’ordonnance de mesures provisionnelles du 20 juillet 2012, que la situation financière de la recourante est particulièrement favorable. Les parties sont propriétaires immobiliers dans plusieurs pays et détiennent également d’importants actifs mobiliers. Compte tenu de l’opacité de leur situation financière, le premier juge a estimé qu’il était impossible de déterminer sans expertise les rendements provenant de leur fortune mobilière ou immobilière, les parties n’ayant elles-mêmes pas été en mesure de chiffrer les revenus de l’autre partie. Dans ces conditions, on ne saurait reprocher au Tribunal d'arrondissement une application arbitraire de l’art. 54 TFJC et le moyen de la recourante est mal fondé.</w:t>
      </w:r>
    </w:p>
    <w:p>
      <w:r>
        <w:rPr>
          <w:b/>
        </w:rPr>
        <w:t>E. 4</w:t>
      </w:r>
    </w:p>
    <w:p>
      <w:r>
        <w:t>En définitive, le recours doit être rejeté en application de l'art. 322 al. 1 CPC et la décision de première instance confirmée. Les frais judiciaires, arrêtés à 550 fr. (art. 70 TFJC [tarif des frais judiciaires civils du 28 septembre 2010; RSV 270.11.5]) sont mis à la charge de la recourante qui succombe (art. 106 al. 1 CPC). Il n'y a pas lieu à l'allocation de dépens, l'intimé n'ayant pas été invité à se déterminer sur le fond mais uniquement sur l'effet suspensif qui a été partiellement accordé. Par ces motifs, la Chambre des recours civile du Tribunal cantonal, statuant à huis clos, prononce : I. Le recours est rejeté. II. La décision est confirmée. III. Les frais judiciaires de deuxième instance, arrêtés à 550 fr. (cinq cent cinquante francs), sont mis à la charge de la recourante H.________. IV. L'arrêt motivé est exécutoire. Le président :               Le greffier : Du</w:t>
      </w:r>
    </w:p>
    <w:p>
      <w:r>
        <w:rPr>
          <w:b/>
        </w:rPr>
        <w:t>E. 6</w:t>
      </w:r>
    </w:p>
    <w:p>
      <w:r>
        <w:t>décembre 2012 Le dispositif de l'arrêt qui précède est communiqué par écrit aux intéressés. Le greffier : Du L'arrêt qui précède, dont la rédaction a été approuvée à huis clos, est notifié en expédition complète, par l'envoi de photocopies, à : ‑ Me Dan Bally (pour H.________), ‑ Me Colette Lasserre Rouiller (pour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