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757 vom 22. November 2012</w:t>
      </w:r>
    </w:p>
    <w:p>
      <w:r>
        <w:t>VD Tribunal cantonal, 2012-11-22, FR</w:t>
      </w:r>
    </w:p>
    <w:p>
      <w:r>
        <w:rPr>
          <w:b/>
        </w:rPr>
        <w:t xml:space="preserve">Quelle: </w:t>
      </w:r>
      <w:r>
        <w:t>https://mcp.opencaselaw.ch/entscheid/vd_findinfo_HC___2012___757</w:t>
      </w:r>
    </w:p>
    <w:p>
      <w:r>
        <w:t>FR: VD_FINDINFO HC / 2012 / 757 du 22 novembre 2012</w:t>
      </w:r>
    </w:p>
    <w:p>
      <w:r>
        <w:t>IT: VD_FINDINFO HC / 2012 / 757 del 22 novembre 2012</w:t>
      </w:r>
    </w:p>
    <w:p>
      <w:pPr>
        <w:pStyle w:val="Heading2"/>
      </w:pPr>
      <w:r>
        <w:t>Regeste</w:t>
      </w:r>
    </w:p>
    <w:p>
      <w:r>
        <w:t>MESURE PROVISIONNELLE, OBLIGATION D'ENTRETIEN, REVENU HYPOTHÉTIQUE, MODIFICATION DES CIRCONSTANCES, DROIT D'ÊTRE ENTENDU | 176 CC, 276 al. 1 CPC (CH), 308 CPC (CH), 53 al. 1 CPC (CH)</w:t>
      </w:r>
    </w:p>
    <w:p>
      <w:pPr>
        <w:pStyle w:val="Heading2"/>
      </w:pPr>
      <w:r>
        <w:t>Erwägungen</w:t>
      </w:r>
    </w:p>
    <w:p>
      <w:r>
        <w:rPr>
          <w:b/>
        </w:rPr>
        <w:t>E. 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patrimoniales d’une valeur litigieuse supérieure à 10'000 fr. (art. 92 al. 2 CPC),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Conformément à l’art. 316 al. 3 CPC, l’instance d’appel peut administrer les preuves, si elle estime opportun de renouveler l’administration d’une preuve ou d’administrer une preuve alors que l’instance inférieure s’y était refusée (Jeandin, CPC commenté, n. 5 ad art. 316 CPC). Dans la mesure où l’instance d’appel assure la continuation du procès de première instance, elle doit néanmoins user du même type de procédure, telles sommaire (art. 248 ss CPC) en matière de mesures provisionnelles ou spéciales en droit de la famille (art. 274 ss CPC), et des mêmes maximes que celles applicables devant la juridiction précédente (Jeandin, op. cit., n. 6 ad art. 316 CPC, p. 12639).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c) En l’espèce, le litige portant sur le montant d’une contribution due notamment pour l’entretien d’enfants mineurs, les pièces produites à l’appui de l’appel et de la réponse sont dès lors recevables. Concernant les mesures d’instruction requises par les parties dans le cadre du présent appel, il était opportun de renouveler l’administration de certaines preuves relatives aux revenus du requérant, afin de les actualiser. Le juge de céans a ainsi ordonné la production des pièces attestant des salaires versés par [...] SA à l’intimé pour les années 2011 et 2012, ainsi que la déclaration d’impôt 2011 de ce dernier.</w:t>
      </w:r>
    </w:p>
    <w:p>
      <w:r>
        <w:rPr>
          <w:b/>
        </w:rPr>
        <w:t>E. 3</w:t>
      </w:r>
    </w:p>
    <w:p>
      <w:r>
        <w:t>a) L’appelante invoque tout d’abord une violation de son droit d’être entendue, dans la mesure où le premier juge a rendu la décision querellée sans reprendre l’audience du 13 janvier 2012. Elle n’aurait pas été en mesure de se déterminer sur les pièces requises auprès des établissements bancaires, de les compléter pour éclaircir la situation financière de l’intimé, et n’aurait ainsi pas pu faire valoir ses moyens juridiques et rejeter les conclusions prises par ce dernier en première instance. Pour sa part, l’intimé fait valoir qu’il était clair, dans l’esprit de toutes les personnes présentes à l’audience du 13 janvier 2012, que le juge se réservait le droit d’examiner les pièces fournies par les établissements bancaires lors d’une reprise d’audience uniquement si ces réquisitions aboutissaient à des résultats positifs. b) En vertu de l’art. 53 CPC, les parties ont le droit d’être entendues (al. 1) et ont notamment le droit de consulter le dossier et de s’en faire délivrer copie pour autant qu’aucun intérêt prépondérant public ou privé ne s’y oppose (al. 2). Cette garantie constitutionnelle (art. 29 al. 2 Cst.) qu’est le droit d’être entendu permet à toute personne qui est partie à une procédure d’être informée et entendue avant qu’une décision ne soit prise (Haldy, CPC commenté n. 1 ad art. 53 CPC). Si la partie a le droit d’être informée sur les éléments de la procédure, elle a aussi le droit de s’exprimer sur ceux-ci, le droit d’être entendu n’imposant pas que cela le soit oralement ; il est également respecté s’il y a la possibilité de s’exprimer par écrit (Haldy, op. cit., n. 4 ad art. 53 CPC ; RSPC 2007 p. 140 ; et réf. citée). Ce droit doit permettre à la partie de se prononcer sur tous les éléments en cause (RSPC 2008 p. 345). S’il n’y a aucun doute sur les éléments qui figurent au dossier, l’on ne saurait exiger du juge, au regard du droit d’être entendu, qu’il donne encore à l’intéressé le droit de se prononcer avant de rendre une décision (RSPC 2006 p. 271 ; Haldy, op. cit., n. 6 ad art. 53 CPC). c) En l’espèce, le procès-verbal de l’audience de mesures provisionnelles du 13 janvier 2012 mentionnait expressément que l’audience serait reprise selon le résultat des productions des pièces requises. Or, les pièces produites par les établissements bancaires révèlaient toutes que l’intimé ne détenait pas de comptes auprès d’eux, si ce n’est la Banque [...] qui indiquait un avoir de 1'104 fr. au 31 décembre 2011, ainsi que des décomptes d’intérêts bancaires. Chaque partie avait eu connaissance de ces pièces, qui leur avaient été adressées en copie. Dès lors, vu le résultat négatif de ces réquisitions confinant à la vraisemblance que l’intimé n’avait pas d’autres ressources financières et la possibilité pour les parties de se déterminer, le cas échéant, par écrit, il était légitime de la part du premier juge d’examiner ces pièces et de rendre l’ordonnance attaquée sans avoir repris l’audience. De toute manière, compte tenu du pouvoir d’examen du juge de céans, une éventuelle informalité est réparée par la procédure d’appel. Il résulte en outre du procès-verbal que les parties ont reçu copie de toutes les déterminations des banques, la dernière fois le 21 mars 2012. La décision n’ayant été rendue que le 20 août suivant, l’appelante bénéficiait d’un délai suffisant pour formuler toute réquisition au sujet des productions de pièces complémentaires, ce qu’elle n’a pas fait. Le grief de l’appelante doit dès lors être rejeté.</w:t>
      </w:r>
    </w:p>
    <w:p>
      <w:r>
        <w:rPr>
          <w:b/>
        </w:rPr>
        <w:t>E. 4</w:t>
      </w:r>
    </w:p>
    <w:p>
      <w:r>
        <w:t>a) L’appelante invoque ensuite qu’aucun élément nouveau ne justifierait de revoir le revenu hypothétique de 13'000 fr., arrêté par la Cour de justice de Genève dans son arrêt sur appel du 22 octobre 2009. L’appelante fait valoir le train de vie dispendieux de l’intimé pour démontrer que les revenus déclarés de ce dernier ne correspondraient pas à la réalité des montants dont il bénéficierait. Il ne pourrait notamment pas assumer les frais de la propriété imposante qu’il habite, ni financer divers voyages à destination de lieux réputés coûteux, ni pratiquer et offrir aux enfants des activités sportives comme le golf et l’équitation. Elle prétend que l’intimé, ayant exercé des activités en qualité d’unique administrateur pour plusieurs sociétés mises en faillite durant la même période que celle de la litispendance en divorce, disposerait d’autres sources de revenus. Pour sa part, l’intimé fait valoir une modification à la baisse de ses revenus à la suite de la faillite de plusieurs sociétés et de la conclusion de son nouveau contrat de travail. Il conteste avoir des revenus autres que ceux provenant de son salaire, la somme résultant du prix de vente d’un terrain destiné à la promotion immobilière ayant été affectée au remboursement de plusieurs dettes, dont une hypothèque de 2 ème rang. En outre, il peut encourager les activités extra-scolaires de ses enfants grâce aux revenus de sa compagne et profiter de vacances à Marrakech et à l’Escalet grâce à l’aide d’amis proches. b/aa) Il convient d’examiner, au regard de l’art. 179 CC (Code civil suisse du 10 décembre 1907, RS 210 ; par renvoi de l’art. 276 CPC), si les circonstances justifiant une contribution d’entretien fixée à 8'900 fr. par mois se sont modifiées et si elles constituent des éléments nouveaux dans le cadre de la décision attaquée. Selon la jurisprudence, il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TF 5A_894/2010 du 15 avril 2011, c. 3.1 ; 5A_27/2009 du 2 octobre 2009, c. 4.1 ; Tappy, CPC Commenté, n. 28 ad art. 276 CPC ; Bohnet, CPC Commenté, n. 5 et 6 ad art. 268 CPC ; Urs Gloor, Basler Kommentar, 3 e éd. 2006, n. 4 ad art. 137 CC). bb) La contribution d’entretien doit être fixée de telle sorte que le débirentier dispose encore d’un revenu lui permettant de couvrir son minimum vital. La limite posée par la capacité contributive du débiteur constitue la règle pour toutes les contributions d’entretien découlant du droit de la famille (ATF 137 III 59 = SJ 2011 I 221).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méthodes de calcul, montant, durée et limites, SJ 2007 II 81). A cet égard, le Tribunal fédéral a jugé que la contribution d'entretien à fixer durant les mesures protectrices de l'union conjugale ou les mesures provisoires de l'art. 137 aCC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 pour but de partager les frais et les dépenses (TF 5A_453/2009 du 9 novembre 2009, c. 4.2.3 ; TF 5A_625/2007 du 26 mars 2008 c. 2.3; TF 5P.463/2003; TF 5P.90/2002 du 1 er juillet 2002 c. 2b aa, publié in FamPra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 c) En l’espèce, il apparaît, au premier abord, une disproportion entre les revenus allégués par l’intimé et son train de vie. Percevant aujourd’hui un revenu net de l’ordre de 7'000 fr. par mois, l’intimé vit dans une maison individuelle d’un certain standing dont les charges mensuelles sont de 3'989 fr. 55. Il assume ses frais d’assurance maladie obligatoire de 232 fr. 45. Il pratique et offre à ses enfants des activités, dont certaines sont usuellement considérées comme onéreuses, telles que le golf ou l’équitation. L’appelante prétend, à ce propos, qu’il bénéficierait de ressources financières autres que son salaire et a produit à cet effet des extraits d’un site internet proposant des services de voyance sur lequel apparaît le nom de la société [...] SA et le nom de l’intimé. Elle fait valoir que les internautes seraient amenés à effectuer des dons sur un compte à Genève, pouvant toutefois appeler un numéro en France et, le cas échéant, faire des réclamations en Angleterre. Elle tendrait à démontrer que l’intimé réaliserait des revenus par ce biais. Cependant, la faillite de la société [...] SA a été prononcée à la suite d’un jugement du Tribunal de première instance de Genève le 31 octobre 2011, laquelle a été suspendue faute d’actifs, et ne procure pas de revenus à l’intimé. Ces extraits de site ne sont pas probants et l’appelante ne rend en définitive pas vraisemblable l’existence de ressources financières autres que le salaire de l’intimé. Il n’est d’ailleurs pas contesté que l’intimé, vivant depuis quelques années avec sa compagne, partage par moitié ses charges avec elle. Il a en outre déclaré à l’audience d’appel que cette dernière payait les charges hypothécaires de la maison, de sorte qu’il était en mesure d’offrir des activités à ses enfants. Par conséquent, l’on ne saurait justifier une contribution d’entretien de 8'900 fr. sur la base d’une comparaison des revenus de l’intimé et de son train de vie. L’intimé avait été assujetti à une contribution d’entretien de 8'900 fr. en tenant compte d’un revenu hypothétique de l’ordre de 13'000 fr. au motif qu’il n’avait apporté aucun élément clarifiant ses activités d’administrateur. Aujourd’hui, il apparaît non seulement que les sociétés administrées à l’époque par l’intimée n’existent plus mais encore qu’il n’est plus ni administrateur ni directeur de la société [...] SA. Il ressort en outre de sa déclaration d’impôts 2011, de même que des attestations bancaires, qu’il n’a pas de revenus autres que son salaire. En outre, l’appelante n’a pas démontré que les conditions pour imputer un tel revenu à l’intimé seraient réalisées. Au vu de l’âge de l’intimé et de l’absence de formation de celui-ci, il ne se justifie pas de tenir compte d’un revenu hypothétique supérieur à celui réalisé. Les circonstances de fait se sont ainsi modifiées, de manière essentielle et durable, depuis l’arrêt rendu par la Cour de Justice de Genève : non seulement l’intimé n’exerce plus d’activité d’administrateur ni de directeur et perçoit désormais un salaire réduit à 6'918 fr. 80 au lieu de 9'454 fr., mais l’appelante, qui ne travaillait pas lorsque la contribution d’entretien avait été fixée à 8'900 fr., a repris une activité à 50% lui procurant un revenu net de 1'550 fr. par mois. Il en résulte que cette dernière, assumant un minimun vital et des charges d’un total de 5'933 fr. (1'350 fr. + 1'600 fr. + 2'983 fr.), subit un manco de 4'383 fr. Quant à l’intimé, il assume un minimum vital et des charges d’un montant de 3'077 fr. 20 (850 fr. + 232 fr. 45 + 1994 fr. 75), sans compter les frais liés à l’exercice de son droit de visite élargi et les activités offertes à ses enfants. Il lui reste ainsi un disponible de 3'841 fr. 55. La situation de l’appelante étant déficitaire, c’est à juste titre que le premier juge a alloué l’entier du disponible de l’intimé à cette dernière et ses enfants.</w:t>
      </w:r>
    </w:p>
    <w:p>
      <w:r>
        <w:rPr>
          <w:b/>
        </w:rPr>
        <w:t>E. 5</w:t>
      </w:r>
    </w:p>
    <w:p>
      <w:r>
        <w:t>Au vu de ce qui précède, l’appel doit être rejeté et l’ordonnance attaquée confirmée.</w:t>
      </w:r>
    </w:p>
    <w:p>
      <w:r>
        <w:rPr>
          <w:b/>
        </w:rPr>
        <w:t>E. 6</w:t>
      </w:r>
    </w:p>
    <w:p>
      <w:r>
        <w:t>Les frais judiciaires de deuxième instance, arrêtés à 1’200 fr. (art. 65 al. 3 TFJC [tarif des frais judiciaires civils du 28 septembre 2010, RSV 270.11.5]), sont mis à la charge de l’appelant qui succombe (art. 106 al. 1 CPC). L’intimé s’étant déterminé par l’intermédiaire de son conseil et une audience d’appel ayant été tenue, à laquelle il s’est présenté assisté de son conseil, il y a lieu de lui allouer des dépens arrêtés à 1'200 fr. (art. 37 al. 2 CDPJ [Code de droit privé judiciaire vaudois du 12 janvier 2010, RSV 211.02]; art. 7 TDC [tarif des dépens en matière civile du 23 novembre 2010, RSV 270.11.6]). Par ces motifs, le juge délégué de la Cour d’appel civile du Tribunal cantonal, statuant à huis clos, prononce : I. L’appel est rejeté. II. L’ordonnance est confirmée. III. Les frais judiciaires de deuxième instance, arrêtés à 1'200 fr. (mille deux cents francs), sont mis à la charge de l’appelante P.________. IV. L’appelante P.________ versera à l’intimé A.T.________ la somme de 1'200 fr. (mille deux cents francs), à titre de dépens de deuxième instance. V. L’arrêt est exécutoire. Le juge délégué : La greffière : Du L'arrêt qui précède, dont la rédaction a été approuvée à huis clos, est notifié en expédition complète, par l'envoi de photocopies à : ‑ Me David Parisod (pour P.________), ‑ Me Violaine Jaccottet Sherif (pour A.T.________).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