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741 vom 16. November 2012</w:t>
      </w:r>
    </w:p>
    <w:p>
      <w:r>
        <w:t>VD Tribunal cantonal, 2012-11-16, FR</w:t>
      </w:r>
    </w:p>
    <w:p>
      <w:r>
        <w:rPr>
          <w:b/>
        </w:rPr>
        <w:t xml:space="preserve">Quelle: </w:t>
      </w:r>
      <w:r>
        <w:t>https://mcp.opencaselaw.ch/entscheid/vd_findinfo_HC___2012___741</w:t>
      </w:r>
    </w:p>
    <w:p>
      <w:r>
        <w:t>FR: VD_FINDINFO HC / 2012 / 741 du 16 novembre 2012</w:t>
      </w:r>
    </w:p>
    <w:p>
      <w:r>
        <w:t>IT: VD_FINDINFO HC / 2012 / 741 del 16 novembre 2012</w:t>
      </w:r>
    </w:p>
    <w:p>
      <w:pPr>
        <w:pStyle w:val="Heading2"/>
      </w:pPr>
      <w:r>
        <w:t>Regeste</w:t>
      </w:r>
    </w:p>
    <w:p>
      <w:r>
        <w:t>BAIL À LOYER, DEMEURE DU DÉBITEUR, LOYER, RÉSILIATION IMMÉDIATE | 257d CO, 308 CPC (CH), 310 CPC (CH), 312 al. 1 CPC (CH), 315 al. 1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TF 4A_634/2009 du 3 mars 2010 c. 1.1; SJ 2001 I 17 c. 1a; ATF 119 II 147 c. 1). En l'espèce, le loyer mensuel s'élevant à 8'000 fr., la valeur litigieuse est supérieure à 10'000 fr., de sorte que la voie de l'appel est ouverte (art. 308 aI. 2 CPC). Interjeté dans les dix jours s'agissant d'une procédure sommaire (art. 314 al. 1 CPC) par une partie qui y a intérêt (art. 59 aI. 2 let. a CPC), l'appel est recevable.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Bâle 2010, n. 1 ad art. 310 CPC, p. 1489). En l'espèce, l'état de fait de l'ordonnance attaquée, complété sur la base des pièces au dossier de première instance, est suffisant pour permettre à la cour de céans de statuer sur le fond.</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pour la fin d'un mois (art. 257d al. 2 CO). En l'espèce, sans contester l'arriéré de loyer, l'appelante fait valoir qu'elle est sur le point de réaliser un gain et qu'elle a présenté aux bailleurs une proposition d'arrangement. De tels moyens ne peuvent qu'être rejetés. En effet, le locataire qui n'a pas réglé l'arriéré réclamé dans le délai comminatoire, prévu par l'art. 257d CO, est en demeure et doit subir les conséquences juridiques de l'al. 2 de cette disposition, savoir la résiliation du bail moyennant un délai de congé de trente jours (ATF 127 III 548 c. 4), cela même si l'arriéré a finalement été payé (TF, arrêt du 27 février 1997 in Cahiers du bail 3/1997 pp. 65 ss). Quant à une renonciation des bailleurs à la procédure d'expulsion, elle n'est pas établie, l'appelante se contentant d'alléguer, sans l'établir, que les parties seraient sur le point de trouver un accord. b) Pour ce qui concerne le délai fixé à l'appelante pour quitter les lieux, la jurisprudence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en vigueur jusqu'au 31 décembre 2010], p. 196 et les réf.). Le délai de plus d'un mois fixé par l'ordonnance ne prête dès lors pas le flanc à la critique. Au surplus, l'appelante obtiendra un nouveau délai pour obtempérer en raison de l'effet suspensif lié à son appel et bénéficie ainsi d'une prolongation de fait de plusieurs semaines.</w:t>
      </w:r>
    </w:p>
    <w:p>
      <w:r>
        <w:rPr>
          <w:b/>
        </w:rPr>
        <w:t>E. 4</w:t>
      </w:r>
    </w:p>
    <w:p>
      <w:r>
        <w:t>Il s'ensuit que l'appel doit être rejeté dans la procédure de l'art. 312 al. 1 CPC et l'ordonnance attaquée confirmée. Vu l'effet suspensif accordé à l'appel de par la loi (art. 315 al. 1 CPC), la cause est renvoyée au Juge de paix du district de Lausanne pour qu'il fixe à l'appelante, une fois les considérants écrits du présent arrêt envoyés pour notification aux parties, un nouveau délai pour libérer les locaux. Les frais judiciaires de deuxième instance sont arrêtés à 680 fr. (art. 62 al. 3 et 69 al. 1 TFJC [tarif des frais judiciaires civils du 28 septembre 2010;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