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739 vom 9. November 2012</w:t>
      </w:r>
    </w:p>
    <w:p>
      <w:r>
        <w:t>VD Tribunal cantonal, 2012-11-09, FR</w:t>
      </w:r>
    </w:p>
    <w:p>
      <w:r>
        <w:rPr>
          <w:b/>
        </w:rPr>
        <w:t xml:space="preserve">Quelle: </w:t>
      </w:r>
      <w:r>
        <w:t>https://mcp.opencaselaw.ch/entscheid/vd_findinfo_HC___2012___739</w:t>
      </w:r>
    </w:p>
    <w:p>
      <w:r>
        <w:t>FR: VD_FINDINFO HC / 2012 / 739 du 9 novembre 2012</w:t>
      </w:r>
    </w:p>
    <w:p>
      <w:r>
        <w:t>IT: VD_FINDINFO HC / 2012 / 739 del 9 novembre 2012</w:t>
      </w:r>
    </w:p>
    <w:p>
      <w:pPr>
        <w:pStyle w:val="Heading2"/>
      </w:pPr>
      <w:r>
        <w:t>Regeste</w:t>
      </w:r>
    </w:p>
    <w:p>
      <w:r>
        <w:t>DIVORCE SUR REQUÊTE COMMUNE, CONVENTION SUR LES EFFETS ACCESSOIRES DU DIVORCE, VICE DU CONSENTEMENT, INDEMNITÉ ÉQUITABLE | 111 CC, 279 CPC (CH), 289 CPC (CH), 308 CPC (CH)</w:t>
      </w:r>
    </w:p>
    <w:p>
      <w:pPr>
        <w:pStyle w:val="Heading2"/>
      </w:pPr>
      <w:r>
        <w:t>Erwägungen</w:t>
      </w:r>
    </w:p>
    <w:p>
      <w:r>
        <w:rPr>
          <w:b/>
        </w:rPr>
        <w:t>E. 1</w:t>
      </w:r>
    </w:p>
    <w:p>
      <w:r>
        <w:t>a) L’appel est recevable contre les décisions finales de première instance (art. 308 al.1 let. a CPC [Code de procédure civile du 19 décembre 2008, RS 272]), dans les causes non patrimoniales ou dont la valeur litigieuse est supérieure à 10’000 fr. (art. 308 al. 2 CPC). Ecrit et motivé, il est introduit dans les 30 jours à compter de la notification de la décision motivée (art. 311 CPC). Selon l’art. 311 al. 1 CPC, l’appelant doit prendre des conclusions au fond permettant à l’instance d’appel de statuer à nouveau. Si l’autorité de deuxième instance peut impartir un délai à l’appelant pour rectifier des vices de forme à l’instar de l’absence de signature (art. 132 al. 1 CPC), il ne saurait être remédié à des conclusions déficientes par ce biais, de tels vices n’étant pas d’ordre purement formel et affectant l’appel de façon irréparable (Jeandin, CPC commenté, n. 4-5 ad art. 311 CPC ; ATF 137 III 617 c. 4.2.2 et 4.3). b) En l’espèce, l’appel ne contient pas de conclusions, de sorte que sa recevabilité est douteuse. La question peut toutefois demeurer indécise puisque, supposé recevable, l’appel devrait de toute manière être rejeté pour les motifs qui suivent.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3</w:t>
      </w:r>
    </w:p>
    <w:p>
      <w:r>
        <w:t>a) En contestant sa renonciation à percevoir un montant équitable correspondant à la moitié de l’avoir de libre passage de l’intimé, l’appelante invoque implicitement un vice de consentement lors de la signature de la convention sur les effets du divorce. b)              Aux termes de l'art. 289 CPC, la décision de divorce ne peut faire l'objet que d'un appel pour vice du consentement. Cette disposition ne limite les griefs admissibles en appel qu'au sujet du prononcé du divorce lui-même. En revanche, les effets du divorce, même résultant d’une convention des parties ou de conclusions communes ratifiées, peuvent être contestés en deuxième instance selon les règles ordinaires (Tappy, op. cit., n. 7 ad art. 289 CPC). S’agissant des effets du divorce réglés d’un commun accord, l’autorité de deuxième instance ne saurait toutefois avoir une liberté d’appréciation plus grande que le premier juge (art. 279 CPC). Un appel est dès lors possible seulement pour faire vérifier que les conditions pour ratifier la convention des parties et prononcer le divorce étaient réunies. Outre d’un vice du consentement, l’autorité de deuxième instance peut donc tenir compte d’une iniquité manifeste de la convention sur les contributions d’entretien entre conjoints ou la liquidation du régime matrimonial (art. 279 al. 1 CPC) ou d’une impossibilité ou d’une illégalité du partage des prestations de sortie (art. 280 al. 1 let. b et c CPC) (Tappy, op. cit., nn. 16 s. ad art. 289 CPC). Selon l’art. 279 al. 1 CPC, le tribunal qui ratifie la convention doit non seulement s’assurer que les époux l’ont conclue après mûre réflexion et de leur plein gré et qu’elle est claire et complète, mais doit aussi vérifier que celle-ci n’est manifestement pas inéquitable.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TF 5C_163/2006 du 3 novembre 2010 c. 4.1 à propos de l’ancien art. 140 CC). c) En l’espèce, l’appelante fait implicitement valoir qu’elle aurait signé la convention sur les effets du divorce à la suite d’explications mensongères. Elle ne démontre toutefois nullement l’existence d’un vice de consentement lors de la signature de cette convention, qu’elle a confirmé à l’audience de jugement avoir signée après mûre réflexion et de son plein gré. En outre, elle n’invoque aucun grief quant aux conditions nécessaires pour ratifier une convention sur effets du divorce selon l’art. 279 al. 1 CPC. D’une part, cette convention est claire et complète. D’autre part, l’appelante perçoit un revenu total de 2'649 fr., lui permettant de couvrir son minimum vital de base fixé à 1'200 fr. selon le droit des poursuites et lui laissant 1'400 fr. pour couvrir ses autres charges mensuelles. Quant à l’intimé, compte tenu de l’objectif constitutionnel de garantir à travers l’AVS et le deuxième pilier 60% du dernier salaire, il n’apparaît pas avantagé par rapport à l’appelante du point de vue de la prévoyance vieillesse. Dans ces conditions, la convention n’est pas manifestement inéquitable.</w:t>
      </w:r>
    </w:p>
    <w:p>
      <w:r>
        <w:rPr>
          <w:b/>
        </w:rPr>
        <w:t>E. 4</w:t>
      </w:r>
    </w:p>
    <w:p>
      <w:r>
        <w:t>L’appelante conteste devoir rembourser une indemnité de 2'116 fr. 80 due à son conseil d’office, alors que son ex-mari ne devrait rembourser une telle indemnité que de 1'080 fr. Elle ne démontre cependant pas en quoi les opérations de son conseil d’office retenues pour calculer ce montant auraient été superflues et ne devraient pas être comptabilisées. Le grief est dès lors infondé.</w:t>
      </w:r>
    </w:p>
    <w:p>
      <w:r>
        <w:rPr>
          <w:b/>
        </w:rPr>
        <w:t>E. 5</w:t>
      </w:r>
    </w:p>
    <w:p>
      <w:r>
        <w:t>Au vu de ce qui précède, l’appel doit être rejeté dans la mesure de sa recevabilité et le jugement attaqué confirmé. Pour des raisons d’équité, il ne sera pas perçu de frais judiciaires (art. 107 al. 1 let. f CPC ; art. 10 TFJC [tarif des frais judiciaires civils du 28 septembre 2010, RSV 270.11.5]). Il n’est pas alloué de dépens, l’intimé n’ayant pas été invité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