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737 vom 19. November 2012</w:t>
      </w:r>
    </w:p>
    <w:p>
      <w:r>
        <w:t>VD Tribunal cantonal, 2012-11-19, FR</w:t>
      </w:r>
    </w:p>
    <w:p>
      <w:r>
        <w:rPr>
          <w:b/>
        </w:rPr>
        <w:t xml:space="preserve">Quelle: </w:t>
      </w:r>
      <w:r>
        <w:t>https://mcp.opencaselaw.ch/entscheid/vd_findinfo_HC___2012___737</w:t>
      </w:r>
    </w:p>
    <w:p>
      <w:r>
        <w:t>FR: VD_FINDINFO HC / 2012 / 737 du 19 novembre 2012</w:t>
      </w:r>
    </w:p>
    <w:p>
      <w:r>
        <w:t>IT: VD_FINDINFO HC / 2012 / 737 del 19 novembre 2012</w:t>
      </w:r>
    </w:p>
    <w:p>
      <w:pPr>
        <w:pStyle w:val="Heading2"/>
      </w:pPr>
      <w:r>
        <w:t>Regeste</w:t>
      </w:r>
    </w:p>
    <w:p>
      <w:r>
        <w:t>ABUS DE DROIT | 2 al. 2 CC</w:t>
      </w:r>
    </w:p>
    <w:p>
      <w:pPr>
        <w:pStyle w:val="Heading2"/>
      </w:pPr>
      <w:r>
        <w:t>Erwägungen</w:t>
      </w:r>
    </w:p>
    <w:p>
      <w:r>
        <w:rPr>
          <w:b/>
        </w:rPr>
        <w:t>E. 1</w:t>
      </w:r>
    </w:p>
    <w:p>
      <w:r>
        <w:t>Le recours de l'art. 319 let. a CPC (Code de procédure civile du 19 décembre 2008; RS 272)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 Déposé en temps utile par une partie qui y a un intérêt (art. 59 al. 2 let. a CPC), le présent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[ZPO],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Les recourants font en substance valoir que la résiliation de la convention du 28 octobre 2009 n'était pas abusive mais qu'elle était pleinement justifiée par les "instructions" du bailleur. Ils relèvent qu'ils n'ont en définitive rien obtenu en contrepartie de leur condamnation à payer 10'000 fr. à l'intimée, celle-ci ayant vidé les locaux sans consigner les biens qu'elle souhaitait leur vendre à l'origine. a) Aux termes de l'art. 2 CC (Code civil du 10 décembre 1907; RS 210), applicable en procédure civile (ATF 132 I 249 c. 5; ATF 125 I 166 c. 3a; Poudret/Haldy/Tappy, Procédure civile vaudoise, 3e éd., Lausanne 2002, n. 3.4 ad art. 1 CPC-VD [Code de procédure civile vaudoise du 14 décembre 1966]),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la 206 c. 3b). b) En l'espèce, il ressort clairement des faits retenus en première instance que l'intimée a admis la caducité de la convention du 28 octobre 2009 passée entre les parties. En effet, à réception de celle-ci, elle a entrepris d'autres démarches pour remettre son salon de coiffure. Au moment de la remise du bail, elle a vidé les locaux sans adresser aux recourants une mise en demeure pour qu'ils prennent possession du mobilier. Dans ces circonstances, il n'est pas nécessaire d'examiner plus avant la qualification juridique de l'acte en question. Par ailleurs, la relation de bail nouvellement liée entre les recourants et le bailleur est indépendante de la relation ayant existé entre eux et l'intimée. En définitive, contrairement au premier juge, on ne décèle aucun comportement constitutif d'un abus de droit de la part des recourants, au sens de l'art. 2 al. 2 CC. Cela étant, il y a lieu d'admettre le recours et de réformer la décision entreprise en ce sens que les demandes déposées le 15 février 2011 par les demandeurs B.Q.________ et E.Q.________ contre la défenderesse P.________ sont admises, les demandeurs n'étant pas les débiteurs d'un montant de 9'999 fr. plus intérêt à 5% l'an dès le 1 er avril 2010 et les oppositions formées aux commandements de payer n os [...] et [...] de l'Office des poursuites de Lausanne-Ouest étant maintenues. Dans la mesure où l'intimée succombe devant le premier juge, il se justifie de mettre à sa charge les frais judiciaires de la partie adverse, par 1'184 fr. 90, ainsi que leurs dépens, qu'il convient de fixer à 1'500 fr. (art. 10 TDC [tarif des dépens en matière civile du 23 novembre 2010; RSV 270.11.6]).</w:t>
      </w:r>
    </w:p>
    <w:p>
      <w:r>
        <w:rPr>
          <w:b/>
        </w:rPr>
        <w:t>E. 4</w:t>
      </w:r>
    </w:p>
    <w:p>
      <w:r>
        <w:t>Au vu de ce qui précède, le recours doit être admis et la décision entreprise réformée dans le sens exposé ci-dessus. Vu le sort du recours, les frais judiciaires de deuxième instance, arrêtés à 400 fr. (quatre cents francs), sont mis à la charge de l'intimée, qui succombe (art. 106 al. 1 CPC). Les recourants ont droit à des dépens de deuxième instance, qui peuvent être arrêtés à 1'125 francs (art. 13 TDC). Par ces motifs, la Chambre des recours civile du Tribunal cantonal, statuant à huis clos, prononce : I. Le recours est admis. II. La décision est réformée aux chiffres I, II, III, IV et VIII comme il suit : I. Les demandes déposées le 15 février 2011 par les demandeurs  B.Q.________ et E.Q.________ contre la défenderesse P.________ sont admises. II. Les demandeurs B.Q.________ et E.Q.________ ne sont pas les débiteurs de P.________ d'un montant de 9'999 fr. plus intérêt à 5 % l'an dès le 1 er avril 2010. III. Les oppositions formées aux commandements de payer nos [...] et [...] de l'Office des poursuites de Lausanne-Ouest sont maintenues. IV. supprimé. VIII. La défenderesse remboursera aux demandeurs, solidairement entre eux, leurs frais judiciaires et leur versera la somme de 1'500 fr. (mille cinq cents francs) à titre de défraiement de leur représentant professionnel. La décision est confirmée pour le surplus. III. Les frais judiciaires de deuxième instance, arrêtés à 400 fr. (quatre cents francs), sont mis à la charge de l'intimée. IV. L'intimée P.________ doit verser aux recourants B.Q.________ et E.Q.________, solidairement entre eux, la somme de 1'125 fr. (mille cent vingt-cinq francs) à titre de dépens de deuxième instance. V. L'arrêt motivé est exécutoire. Le président :               La greffière : Du 20 novembre 2012 Le dispositif de l'arrêt qui précède est communiqué par écrit aux intéressés. La greffière : Du L'arrêt qui précède, dont la rédaction a été approuvée à huis clos, est notifié en expédition complète, par l'envoi de photocopies, à : ‑ M. Jean-Daniel Nicaty, agent d'affaires breveté (pour les recourants B.Q.________ et E.Q.________), ‑ Me Olivier Burnet, avocat (pour P.________). La Chambre des recours civile considère que la valeur litigieuse est de 9'999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