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726 vom 12. November 2012</w:t>
      </w:r>
    </w:p>
    <w:p>
      <w:r>
        <w:t>VD Tribunal cantonal, 2012-11-12, FR</w:t>
      </w:r>
    </w:p>
    <w:p>
      <w:r>
        <w:rPr>
          <w:b/>
        </w:rPr>
        <w:t xml:space="preserve">Quelle: </w:t>
      </w:r>
      <w:r>
        <w:t>https://mcp.opencaselaw.ch/entscheid/vd_findinfo_HC___2012___726</w:t>
      </w:r>
    </w:p>
    <w:p>
      <w:r>
        <w:t>FR: VD_FINDINFO HC / 2012 / 726 du 12 novembre 2012</w:t>
      </w:r>
    </w:p>
    <w:p>
      <w:r>
        <w:t>IT: VD_FINDINFO HC / 2012 / 726 del 12 novembre 2012</w:t>
      </w:r>
    </w:p>
    <w:p>
      <w:pPr>
        <w:pStyle w:val="Heading2"/>
      </w:pPr>
      <w:r>
        <w:t>Regeste</w:t>
      </w:r>
    </w:p>
    <w:p>
      <w:r>
        <w:t>FRAIS JUDICIAIRES, DÉPENS, PROCÈS DEVENU SANS OBJET | 106 al. 1 CPC (CH), 107 al. 1 let. e CPC (CH), 241 CPC (CH), 242 CPC (CH)</w:t>
      </w:r>
    </w:p>
    <w:p>
      <w:pPr>
        <w:pStyle w:val="Heading2"/>
      </w:pPr>
      <w:r>
        <w:t>Erwägungen</w:t>
      </w:r>
    </w:p>
    <w:p>
      <w:r>
        <w:rPr>
          <w:b/>
        </w:rPr>
        <w:t>E. 1</w:t>
      </w:r>
    </w:p>
    <w:p>
      <w:r>
        <w:t>CPC), peut être attaquée séparément par un recours (Tappy, in CPC commenté, Bâle 2011, n. 4 ad art. 110 CPC). Tel est le cas en l’espèce, dès lors que seule est contestée en deuxième instance la répartition des frais judiciaires et des dépens. La décision entreprise a été rendue dans le cadre d'une procédure de mesures provisionnelle à laquelle s'applique la procédure sommaire (art. 248 let. c CPC); le délai de recours est ainsi de dix jours (art. 321 al. 2 CPC). Interjeté en temps utile (art. 321 al. 1 CPC) par une partie qui y a intérêt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b)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in CPC commenté, Bâle 2011, n. 4 ad art. 326 CPC, p. 1285). En l'espèce, les pièces produites par la recourante en deuxième instance sont irrecevables dans la mesure où elles ne figurent pas déjà au dossier de première instance.</w:t>
      </w:r>
    </w:p>
    <w:p>
      <w:r>
        <w:rPr>
          <w:b/>
        </w:rPr>
        <w:t>E. 3</w:t>
      </w:r>
    </w:p>
    <w:p>
      <w:r>
        <w:t>juillet 2012, soit cinq jours plus tard. Au regard des comportements des deux parties, c'est à juste titre que le premier juge a considéré qu'il n'était pas en mesure de déterminer qui aurait finalement obtenu gain de cause. Ainsi, il n'a pas abusé de son large pouvoir d'appréciation en répartissant les frais judiciaires par moitié et en mettant des dépens réduits de moitié à la charge de la recourante, la solution retenue n'étant pas inéquitable. Le moyen de la recourante est par conséquent mal fondé.</w:t>
      </w:r>
    </w:p>
    <w:p>
      <w:r>
        <w:rPr>
          <w:b/>
        </w:rPr>
        <w:t>E. 4</w:t>
      </w:r>
    </w:p>
    <w:p>
      <w:r>
        <w:t>En conclusion, le recours doit être rejeté en application de l'art. 322 al. 1 CPC et la décision querellée confirmée. Les frais judiciaires de deuxième instance, arrêté à 100 fr. (art. 69 al. 1 et 70 al. 3 TFJC [tarif des frais judiciaires civils du 28 septembre 2010; RSV 270.11.5]), sont mis à la charge de la recourante qui succombe (art. 106 al. 1 CPC). Il n'y a pas matière à l'allocation de dépens de deuxième instance, l'intimé n'ayant pas été invité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Q.________ IV. L'arrêt motivé est exécutoire. Le président :               Le greffier : Du 13 novembre 2012 Le dispositif de l'arrêt qui précède est communiqué par écrit aux intéressés. Le greffier : Du L'arrêt qui précède, dont la rédaction a été approuvée à huis clos, est notifié en expédition complète, par l'envoi de photocopies, à : ‑ Mme Q.________, ‑ Mme Geneviève Gehrig, aab (pour P.________). La Chambre des recours civile considère que la valeur litigieuse est de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