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724 vom 29. Oktober 2012</w:t>
      </w:r>
    </w:p>
    <w:p>
      <w:r>
        <w:t>VD Tribunal cantonal, 2012-10-29, FR</w:t>
      </w:r>
    </w:p>
    <w:p>
      <w:r>
        <w:rPr>
          <w:b/>
        </w:rPr>
        <w:t xml:space="preserve">Quelle: </w:t>
      </w:r>
      <w:r>
        <w:t>https://mcp.opencaselaw.ch/entscheid/vd_findinfo_HC___2012___724</w:t>
      </w:r>
    </w:p>
    <w:p>
      <w:r>
        <w:t>FR: VD_FINDINFO HC / 2012 / 724 du 29 octobre 2012</w:t>
      </w:r>
    </w:p>
    <w:p>
      <w:r>
        <w:t>IT: VD_FINDINFO HC / 2012 / 724 del 29 ottobre 2012</w:t>
      </w:r>
    </w:p>
    <w:p>
      <w:pPr>
        <w:pStyle w:val="Heading2"/>
      </w:pPr>
      <w:r>
        <w:t>Regeste</w:t>
      </w:r>
    </w:p>
    <w:p>
      <w:r>
        <w:t>FRAIS{EN GÉNÉRAL} | 59 al. 2 CPC (CH)</w:t>
      </w:r>
    </w:p>
    <w:p>
      <w:pPr>
        <w:pStyle w:val="Heading2"/>
      </w:pPr>
      <w:r>
        <w:t>Erwägungen</w:t>
      </w:r>
    </w:p>
    <w:p>
      <w:r>
        <w:rPr>
          <w:b/>
        </w:rPr>
        <w:t>E. 1</w:t>
      </w:r>
    </w:p>
    <w:p>
      <w:r>
        <w:t>La décision attaquée mettant fin au procès (art. 236 al. 1 CPC [Code de procédure civile du 19 décembre 2010; RS 272]), dans une affaire dont la valeur litigieuse est inférieure à 10'000 fr., elle est sujette au recours de l'art. 319 let. a CPC. Motivé et déposé en temps utile (art. 321 al. 1 CPC), par une partie qui y a intérêt, le recours est recevable à la forme.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Les frais d'intervention de l'art. 23 al. 3 aLSDIS, en vertu duquel les communes peuvent les faire supporter pour partie aux personnes en faveur desquelles – ou à cause desquelles – les sapeurs-pompiers ont fourni une prestation particulière, sont liés à une contre-prestation étatique pour la défense du bien protégé et constituent une taxe causale (voir notamment l'arrêt du Tribunal administratif du 15 juin 2009 dans la cause GE.2009.0019, consid. 2a et la jurisprudence citée). La facture du 26 novembre 2009, adressée à la recourante pour l'intervention du 6 novembre 2009, constituait dès lors une décision administrative sujette à recours auprès de la Cour de droit administratif et public du Tribunal cantonal (CDAP), même si elle ne le mentionnait pas. Elle a été contestée par la recourante qui, par lettre du 2 décembre 2009, en a demandé l'annulation. Cet acte – équivalant à un recours – aurait dû être transmis par l'autorité administrative au juge compétent, soit à la CDAP, ce qui n'a pas été fait. La procédure engagée par l'intimée devant le juge de paix n'aurait eu de sens qu'à titre de requête de mainlevée définitive et pour autant que l'intimée puisse se prévaloir d'une décision entrée en force, partant, exécutoire. Or, la décision en cause n'était précisément pas entrée en force, puisqu'elle faisait l'objet d'une contestation en temps utile de la part de l'administrée. A cela s'ajoute que, lors de l'introduction de la demande, en date du 31 août 2011, le commandement de payer frappé d'opposition le 18 juin 2010 était périmé (cf. art. 88 al. 2 LP; ATF 125 III 45). Selon l'art. 59 al. 2 CPC, le tribunal n'entre en matière que s'il est compétent à raison de la matière, ce qui n'était pas le cas en l'espèce (art. 1 CPC). Il s'ensuit que, dans la mesure où la procédure engagée devant le juge de paix n'avait pas lieu d'être et où l'on doit se repositionner au début du mois de décembre 2009, la décision querellée doit être annulée. Cela vaut aussi pour les frais, qui tombent avec le prononcé attaqué. Il s'ensuit que la cause est renvoyée à la juge de paix pour qu'elle rende un prononcé d'irrecevabilité, avec ou sans frais à la charge de la demanderesse, et retourne la cause à celle-ci avec pour instruction de donner la suite qui convient à l'opposition de la défenderesse à sa facture du 26 novembre 2009.</w:t>
      </w:r>
    </w:p>
    <w:p>
      <w:r>
        <w:rPr>
          <w:b/>
        </w:rPr>
        <w:t>E. 4</w:t>
      </w:r>
    </w:p>
    <w:p>
      <w:r>
        <w:t>Au vu de ce qui précède, le recours doit être admis. Les frais judiciaires de deuxième instance, arrêtés à 100 fr. (art. 69 al. 1 TFJC (tarif des frais judiciaires civils du 28 septembre 2010; RSV 270.11.5), sont mis à la charge de l'intimée qui les remboursera à la recourante à titre de restitution d'avance de frais. La recourante ayant agi sans le concours d'un représentant professionnel, il ne lui est pas alloué de dépens (art. 95 al. 3 let. b CPC). Par ces motifs, la Chambre des recours civile du Tribunal cantonal, statuant à huis clos, prononce : I. Le recours est admis. II. La décision est annulée et la cause est renvoyée à la Juge de paix du district de Lausanne pour procéder selon les considérants. III. Les frais judiciaires de deuxième instance, arrêtés à 100 fr. (cents francs), sont mis à la charge de l'intimée Z.________, qui les remboursera à la recourante F.________ à titre de restitution d'avance de frais. IV. L'arrêt motivé est exécutoire. Le président :               Le greffier : Du 29 octobre 2012 Le dispositif de l'arrêt qui précède est communiqué par écrit aux intéressés. Le greffier : Du L'arrêt qui précède, dont la rédaction a été approuvée à huis clos, est notifié en expédition complète, par l'envoi de photocopies, à : ‑ F.________, ‑ Z.________. La Chambre des recours civile considère que la valeur litigieuse est de 1'247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