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719 vom 16. November 2012</w:t>
      </w:r>
    </w:p>
    <w:p>
      <w:r>
        <w:t>VD Tribunal cantonal, 2012-11-16, FR</w:t>
      </w:r>
    </w:p>
    <w:p>
      <w:r>
        <w:rPr>
          <w:b/>
        </w:rPr>
        <w:t xml:space="preserve">Quelle: </w:t>
      </w:r>
      <w:r>
        <w:t>https://mcp.opencaselaw.ch/entscheid/vd_findinfo_HC___2012___719</w:t>
      </w:r>
    </w:p>
    <w:p>
      <w:r>
        <w:t>FR: VD_FINDINFO HC / 2012 / 719 du 16 novembre 2012</w:t>
      </w:r>
    </w:p>
    <w:p>
      <w:r>
        <w:t>IT: VD_FINDINFO HC / 2012 / 719 del 16 novembre 2012</w:t>
      </w:r>
    </w:p>
    <w:p>
      <w:pPr>
        <w:pStyle w:val="Heading2"/>
      </w:pPr>
      <w:r>
        <w:t>Regeste</w:t>
      </w:r>
    </w:p>
    <w:p>
      <w:r>
        <w:t>BAIL À LOYER, DEMEURE, EXPULSION DE LOCATAIRE | 257d CO, 257 CPC (CH)</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L'art. 319 let. a CPC ouvre la voie subsidiaire du recours contre les décisions finales qui ne peuvent pas faire l'objet d'un appel. En l'occurrence, le litige porte sur le bien-fondé d'une ordonnance d'expulsion rendue pour défaut de paiement de loyers.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(cf. TF 4A_189/2011 du 4 juillet 2011, in SJ 2011 I 462; TF 4A_634/2009 du 3 mars 2010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s'élève à 1'460 fr., charges comprises, de sorte que la limite de 10'000 fr. fixée par l'art. 308 al. 2 CPC est sans conteste atteinte.</w:t>
      </w:r>
    </w:p>
    <w:p>
      <w:r>
        <w:rPr>
          <w:b/>
        </w:rPr>
        <w:t>E. 1.2</w:t>
      </w:r>
    </w:p>
    <w:p>
      <w:r>
        <w:t>L'appel s'exerce en principe dans un délai de trente jours (art. 311 CPC). Le délai d'appel est toutefois de dix jours dans toutes les décisions rendues en procédure sommaire (art. 314 al. 1 CPC). En l'espèce, le bailleur a requis l'application de la procédure dans les cas clairs (art. 257 CPC)  et le premier juge en a fait application. Une telle procédure étant sommaire, le délai d'appel est de dix jours. Interjeté en temps utile par une partie qui y a intérêt (art. 59 al. 2 let. a CPC) et dûment motivé (art. 311 al. 1 CPC), l'appel est ainsi recevable.</w:t>
      </w:r>
    </w:p>
    <w:p>
      <w:r>
        <w:rPr>
          <w:b/>
        </w:rPr>
        <w:t>E. 2.1</w:t>
      </w:r>
    </w:p>
    <w:p>
      <w:r>
        <w:t>L'appel est une voie de droit offrant à l'autorité de seconde instance un plein pouvoir d'examen (Jeandin, CPC commenté, Bâle 2011, n. 1 ad art. 310 CPC).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2ème éd., 2010, n. 2399, p. 435). L'autorité d'appel applique le droit d'office : elle n'est pas liée par les motifs invoqués par les parties ou par le tribunal de première instance. Son pouvoir d'examen est plein et entier (Hohl, op. cit., n. 2396, p. 435; Spühler, Basler Kommentar, Schweizerische Zivilprozessordnung, Bâle 2010, n. 1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En l'espèce, l'appelante n'invoque ni ne produit de faits et moyens de preuves nouveaux de sorte qu'il n'y a pas lieu d'examiner si les conditions de l'art. 317 CPC sont réalisées.</w:t>
      </w:r>
    </w:p>
    <w:p>
      <w:r>
        <w:rPr>
          <w:b/>
        </w:rPr>
        <w:t>E. 3</w:t>
      </w:r>
    </w:p>
    <w:p>
      <w:r>
        <w:t>L'appelante, qui a contresigné l'appel rédigé en son nom par le Centre social régional (CSR) de Lausanne, indique que sa demande tend à reporter le délai qui lui a été imparti au 19 octobre 2012 pour quitter et rendre libres les locaux litigieux. Le CSR précise qu'il aurait pu verser l'arriéré de loyer de l'appelante, à savoir un montant de 2'920 fr., s'il avait reçu la promesse de la gérance que la locataire pouvait rester dans son appartement à la suite de ce versement.</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et les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lorsque le locataire n'avait pas réglé l'arriéré de loyer réclamé dans le délai comminatoire prévu à l'art. 257d al. 1 CO, il était en demeure et devait subir les conséquences juridiques de l'alinéa 2 de cette disposition, à savoir la résiliation du bail moyennant un délai de congé de trente jours (ATF 127 II 548 c. 4), cela même si l'arriéré avait finalement été payé (TF, arrêt du 4 février 1997 in Cahiers du bail 3/97 pp. 65 ss). Au vu de la jurisprudence précitée, l'appelante ne pouvait en l'espèce imposer au bailleur un arrangement consistant à lui verser, par le biais du CSR, les arriérés, qu'elle ne conteste du reste pas lui devoir, en contrepartie de la renonciation par le bailleur à la résiliation de son contrat de bail. Mal fondé, le recours doit être rejeté sur ce point</w:t>
      </w:r>
    </w:p>
    <w:p>
      <w:r>
        <w:rPr>
          <w:b/>
        </w:rPr>
        <w:t>E. 3.2</w:t>
      </w:r>
    </w:p>
    <w:p>
      <w:r>
        <w:t>Par ailleurs, des motifs humanitaires n'entrent pas en ligne de compte dans l'examen des conditions de l'art. 257d CO, dès lors qu'ils ne sont pas pris en considération par les règles de droit fédéral sur le bail à loyer (TF, arrêt du 27 février 1997 précité c. 2b,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(loi sur la procédure d'expulsion en matière de baux à loyer et à ferme du 18 mai 1955 [LEPBL]) abrogé par l'entrée en vigueur du CPC, que, sauf cas particulier, un délai de libération des locaux de quinze à vingt jours était admissible (Guignard, in Procédures spéciales vaudoises, Lausanne 2008, n. 2 ad art. 17 LPEBL, p. 196 et références citées); un délai de libération des locaux de trois semaines après la communication de l'ordonnance d'expulsion a été jugé suffisant par la cour de céans (CACI 8 mars 2012/115; CACI 31 juillet 2012/348). En l'espèce, le délai accordé à l'appelante pour quitter les locaux, soit une vingtaine de jours après la communication de l'ordonnance attaquée, ne prête pas le flanc à la critique. Au surplus, l'appelante a d'ores et déjà bénéficié d'une prolongation de fait de quelques semaines et obtiendra en sus un nouveau délai pour obtempérer en raison de l'effet suspensif lié à son appel (art. 315 al. 1 CPC). En effet, le délai fixé à la locataire pour quitter les lieux étant dépassé, un nouveau délai doit lui être fixé par le premier juge, solution déjà appliquée sous l'ancien droit (cf. Guignard, op. cit., n. 2 ad art. 27 LEPBL). Le moyen de l'appelante doit dès lors être rejeté.</w:t>
      </w:r>
    </w:p>
    <w:p>
      <w:r>
        <w:rPr>
          <w:b/>
        </w:rPr>
        <w:t>E. 4</w:t>
      </w:r>
    </w:p>
    <w:p>
      <w:r>
        <w:t>L'appelante fait encore valoir que la somme litigieuse de 2'920 fr., représentant deux loyers mensuels, paraît être une somme peu élevée pour l'expulser avec ses enfants, alors qu'ils n'ont posé aucun problème durant les quatorze années de location de l'appartement en question. La jurisprudence admet qu'un congé donné en raison du défaut de paiement du loyer peut être annulé en application de l'art. 271 CO si le montant impayé est insignifiant (ATF 120 II 31; TF 4A_ 641/2011 du 29 octobre 2010 et les références citées). La notion doit être interprétée très restrictivement, afin de ne pas mettre en question le droit du bailleur à recevoir le loyer à l'échéance (TF 4A_641/2011 du 27 janvier 2012 c. 7). Ainsi, un loyer mensuel, indépendamment de son montant, ne saurait être qualifié d'insignifiant. Le fait que le locataire loue l'objet depuis longtemps et ait versé durant cette période un montant important à titre de loyer n'y change rien (TF 4A_641 /2011 du 27 janvier 2012 c. 7, confirmant CACI 1 er septembre 2011/226). En l'espèce, dès lors que l'arriéré porte sur deux mois de loyer, il ne saurait, malgré le fait que le bail a duré quatorze ans, être qualifié d'insignifiant au sens de la jurisprudence précitée. Au surplus, on relève que le contrat de bail du 5 avril 2011 avait été conclu après que le précédent contrat portant sur les locaux litigieux, conclu entre les mêmes parties, eut fait l'objet d'une résiliation par le bailleur pour défaut de paiement. Le moyen doit être ainsi rejeté.</w:t>
      </w:r>
    </w:p>
    <w:p>
      <w:r>
        <w:rPr>
          <w:b/>
        </w:rPr>
        <w:t>E. 5</w:t>
      </w:r>
    </w:p>
    <w:p>
      <w:r>
        <w:t>En conclusion, l'appel doit être rejeté dans la procédure de l'art. 312 al. 1 CPC et l'ordonnance du 18 septembre 2012 confirmée. Vu l'effet suspensif accordé à l'appel de par la loi (art. 315 al. 1 CPC), la cause doit être renvoyée au premier juge afin qu'il fixe à l'appelante, une fois les considérants écrits du présent arrêt envoyés, un nouveau délai pour libérer les locaux en cause. Les frais judiciaires de deuxième instance, arrêtés à 200 fr. (art. 62 al. 3 et 69 al. 1 TFJC [tarif des frais judiciaires du 28 septembre 2010 des frais judiciaires civils; RSV 270.11.5]), sont mis à la charge de l'appelante qui succombe (art. 106 al. 1 CPC). Il n'y pas lieu à l'allocation de dépens de deuxième instance, les intimés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