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716 vom 16. November 2012</w:t>
      </w:r>
    </w:p>
    <w:p>
      <w:r>
        <w:t>VD Tribunal cantonal, 2012-11-16, FR</w:t>
      </w:r>
    </w:p>
    <w:p>
      <w:r>
        <w:rPr>
          <w:b/>
        </w:rPr>
        <w:t xml:space="preserve">Quelle: </w:t>
      </w:r>
      <w:r>
        <w:t>https://mcp.opencaselaw.ch/entscheid/vd_findinfo_HC___2012___716</w:t>
      </w:r>
    </w:p>
    <w:p>
      <w:r>
        <w:t>FR: VD_FINDINFO HC / 2012 / 716 du 16 novembre 2012</w:t>
      </w:r>
    </w:p>
    <w:p>
      <w:r>
        <w:t>IT: VD_FINDINFO HC / 2012 / 716 del 16 novembre 2012</w:t>
      </w:r>
    </w:p>
    <w:p>
      <w:pPr>
        <w:pStyle w:val="Heading2"/>
      </w:pPr>
      <w:r>
        <w:t>Regeste</w:t>
      </w:r>
    </w:p>
    <w:p>
      <w:r>
        <w:t>EXPULSION DE LOCATAIRE, NOTIFICATION PAR VOIE OFFICIELLE, DÉBAT DU TRIBUNAL | 257d CO, 141 al. 2 CPC (CH)</w:t>
      </w:r>
    </w:p>
    <w:p>
      <w:pPr>
        <w:pStyle w:val="Heading2"/>
      </w:pPr>
      <w:r>
        <w:t>Erwägungen</w:t>
      </w:r>
    </w:p>
    <w:p>
      <w:r>
        <w:rPr>
          <w:b/>
        </w:rPr>
        <w:t>E. 1</w:t>
      </w:r>
    </w:p>
    <w:p>
      <w:r>
        <w:t>Le litige porte sur le bien-fondé d’une ordonnance prononçant une expulsion pour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I’annulabilité d’une résiliation (JT 2011 III 43; TF 4A_634/2009 du 3 mars 2010 c. 1.1; SJ 2001 I 17 c. 1a; ATF 119 II 147 c. 1). En l'espèce, le loyer mensuel s'élevant à 800 fr., la valeur litigieuse est supérieure à 10'000 fr., de sorte que la voie de l'appel est ouverte (art. 308 al. 2 CPC). Interjeté dans les dix jours s'agissant d'une procédure sommaire (art. 314 al. 1 CPC) par une partie qui y a intérêt (art. 59 al. 2 let. a CPC), l’appel est dès lors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si ces conditions sont réalisées, de sorte que l’appel doit indiquer spécialement de tels faits et preuves nouveaux et motiver spécialement les raisons qui les rendent admissibles selon lui (Tappy, op. cit., JT 2010 III 136-137; JT 2011 III 43 c. 2).</w:t>
      </w:r>
    </w:p>
    <w:p>
      <w:r>
        <w:rPr>
          <w:b/>
        </w:rPr>
        <w:t>E. 3</w:t>
      </w:r>
    </w:p>
    <w:p>
      <w:r>
        <w:t>L’appelant se plaint en premier lieu de n’avoir pas été régulièrement convoqué à l’audience devant le premier juge et de n’avoir ainsi pas pu se « défendre ». Ce grief est infondé. Il résulte en effet des pièces au dossier que l’appelant a été personnellement cité à comparaître à l’audience du 28 septembre 2012 par pli recommandé à son adresse. Celui-ci n’a cependant pas été réclamé par son destinataire dans le délai de garde et a été retourné à la Justice de paix. A réception du pli venu en retour, la Juge de paix a écrit à l’intéressé par courrier A, en lui signalant ce qui précède et en l’invitant à venir chercher au greffe, dans un délai de 48 heures, l’acte le concernant, à défaut de quoi la notification de l’acte interviendrait par publication officielle. L’appelant ne s’étant pas manifesté, la publication de l’avis a eu lieu dans la Feuille des avis officiels du 14 septembre 2012. On doit ainsi considérer que l’intéressé a été régulièrement assigné à l’audience et qu’il ne saurait invoquer une quelconque irrégularité à cet égard.</w:t>
      </w:r>
    </w:p>
    <w:p>
      <w:r>
        <w:rPr>
          <w:b/>
        </w:rPr>
        <w:t>E. 4</w:t>
      </w:r>
    </w:p>
    <w:p>
      <w:r>
        <w:t>L’appelant soutient ensuite que les retards dans le paiement de son loyer ne lui sont pas imputables, dans la mesure où « ce sont les services sociaux qui s’en occupent ». Pour autant qu’il soit compréhensible, ce grief est tout aussi infondé. On ne voit pas quels seraient les services sociaux concernés. En effet, le bail litigieux est un contrat de sous-location passé entre l’appelant et R.________. Rien au dossier ne laisse penser que le loyer devait être acquitté par un tiers. Au contraire, le contrat de bail dispose explicitement que le loyer est payable par le sous-locataire au moyen des bulletins de versement qu'il recevrait 10 à 15 jours avant chaque échéance; en outre, la mise en demeure du 21 mars 2012 a été adressée à l’appelant personnellement et il résulte de la lettre du Service financier de l’intimée du 23 mai 2012 que c’est bien l’appelant qui a reçu les nouveaux bulletins de versement à utiliser, remplaçant les éventuels bulletins de versement encore en sa possession, « désormais caducs ». Pour le surplus, la procédure suivie par l’intimée pour mettre un terme au contrat de sous-location litigieux est conforme à la loi. Les conditions d’une résiliation extraordinaire, pour défaut de paiement, étant en l’occurrence remplies (cf. art. 257d CO), c’est à juste titre que le premier juge a donné suite à la requête d’expulsion, en procédure de cas clair, de la partie bailleresse.</w:t>
      </w:r>
    </w:p>
    <w:p>
      <w:r>
        <w:rPr>
          <w:b/>
        </w:rPr>
        <w:t>E. 5</w:t>
      </w:r>
    </w:p>
    <w:p>
      <w:r>
        <w:t>Il s'ensuit que, manifestement infondé, l’appel doit être rejeté et l'ordonnance entreprise confirmée. Vu l'effet suspensif accordé à l'appel de par la loi (art. 315 al. 1 CPC), la cause doit être renvoyée au premier juge afin qu'il fixe à l'appelant, une fois les considérants écrits du présent arrêt envoyés pour notification aux parties, un nouveau délai pour libérer les locaux en cause. Les frais judiciaires de deuxième instance sont arrêtés à 100 fr. (art. 69 al. 1 par renvoi de l'art. 62 al. 3 TFJC [tarif des frais judiciaires civils du 28 septembre 2010; RSV 270.11.5]) et mis à la charge de l'appelant, qui succombe (art. 106 al. 1 CPC). N'ayant pas été invitée à se déterminer,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