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713 vom 14. November 2012</w:t>
      </w:r>
    </w:p>
    <w:p>
      <w:r>
        <w:t>VD Tribunal cantonal, 2012-11-14, FR</w:t>
      </w:r>
    </w:p>
    <w:p>
      <w:r>
        <w:rPr>
          <w:b/>
        </w:rPr>
        <w:t xml:space="preserve">Quelle: </w:t>
      </w:r>
      <w:r>
        <w:t>https://mcp.opencaselaw.ch/entscheid/vd_findinfo_HC___2012___713</w:t>
      </w:r>
    </w:p>
    <w:p>
      <w:r>
        <w:t>FR: VD_FINDINFO HC / 2012 / 713 du 14 novembre 2012</w:t>
      </w:r>
    </w:p>
    <w:p>
      <w:r>
        <w:t>IT: VD_FINDINFO HC / 2012 / 713 del 14 novembre 2012</w:t>
      </w:r>
    </w:p>
    <w:p>
      <w:pPr>
        <w:pStyle w:val="Heading2"/>
      </w:pPr>
      <w:r>
        <w:t>Regeste</w:t>
      </w:r>
    </w:p>
    <w:p>
      <w:r>
        <w:t>LOCATAIRE, EXPULSION DE LOCATAIRE | 341 CPC (CH)</w:t>
      </w:r>
    </w:p>
    <w:p>
      <w:pPr>
        <w:pStyle w:val="Heading2"/>
      </w:pPr>
      <w:r>
        <w:t>Erwägungen</w:t>
      </w:r>
    </w:p>
    <w:p>
      <w:r>
        <w:rPr>
          <w:b/>
        </w:rPr>
        <w:t>E. 1</w:t>
      </w:r>
    </w:p>
    <w:p>
      <w:r>
        <w:t>L’appel est irrecevable contre les décisions du tribunal de l’exécution (art. 309 let. a CPC [Code de procédure civile du 19 décembre 2010; RS 272]), qui peuvent donc faire l’objet d’un recours qui peut être formé dans les dix jours dès la notification de la décision attaquée (art. 319 let. a, 321 al. 2 et 339 al. 2 CPC). En l’espèce, le recours est interjeté par une partie qui y a intérêt (art. 59 al. 2 let. a CPC), dès lors qu’il émane d’une locataire risquant d’être expulsée de son logement. Déposé en temps utile, il est ainsi recevable à la forme.</w:t>
      </w:r>
    </w:p>
    <w:p>
      <w:r>
        <w:rPr>
          <w:b/>
        </w:rPr>
        <w:t>E. 2</w:t>
      </w:r>
    </w:p>
    <w:p>
      <w:r>
        <w:t>a) Saisie d’un recours contre une décision d’exécution forcée régie en première instance par la procédure sommaire (cf. art. 339 al. 2 CPC), la Chambre des recours civile statue dans une composition à trois juges (JT 2011 III 44). b) L’autorité de recours dispose d’un plein pouvoir d’examen s’agissant de la violation du droit (Spühler, Basler Kommentar, Schweizerische Zivilprozess- ordnung, Bâle 2010, n. 12 ad art. 319 CPC, p. 1504). Elle revoit librement les questions de droit soulevées par le recourant et peut substituer ses propres motifs à ceux de l’autorité précédente ou du recourant (HohI, Procédure civile, tome lI, 2 e éd., 2010, n. 2508, p. 452). S’agissant de la constatation manifestement inexacte des faits, ce grief, comme pour l’art. 97 al. 1 LTF (Loi sur le Tribunal fédéral du 17 juin 2005; RS 173.110), ne permet que de corriger une erreur évidente, la notion se recoupant en définitive avec l’appréciation arbitraire des preuves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 La recourante allègue qu’elle n’a pas encore trouvé de logement et qu’elle ne conçoit pas de se retrouver sans solution en cette saison avec un fils handicapé. Elle ajoute que son loyer est actuellement payé sans retard par le service social de sa commune. b) Selon l’art. 341 CPC, le tribunal de l’exécution examine d’office le caractère exécutoire de la décision dont l’exécution est requise (al. 1). Il fixe à la partie succombante un bref délai pour se déterminer (al. 2). Sur le fond, la partie succombante peut uniquement alléguer que des faits s’opposant à l’exécution se sont produits après la notification de celle-ci (al. 3). Au stade de la procédure d’exécution, qui ne saurait être confondue avec une voie de remise en cause de la décision au fond, la partie contre laquelle est requise l'exécution ne peut revenir sur l'objet du litige puisque le jugement déploie autorité de chose jugée. En conséquence, seuls des faits survenus postérieurement au jour où le jugement a été rendu et faisant obstacle à son exécution peuvent être allégués par la partie intimée. Ce seront des faits dont la survenance a eu pour conséquence l’extinction de la prétention à exécuter (Jeandin, CPC commenté, Bâle 2011, n. 16 ad. art. 341 CPC). c) En l’espèce, la recourante ne remet pas en cause le caractère exécutoire de l’ordonnance d’expulsion sur laquelle repose l’avis d’exécution forcée. Les seuls motifs invoqués sont d’ordre humanitaire. De tels motifs peuvent être pris en compte au stade de l’exécution forcée en application du principe de proportionnalité. Toutefois, dans tous les cas, l’ajournement de l’exécution forcée ne saurait être que relativement bref et ne doit pas équivaloir en fait à une nouvelle prolongation de bail (ATF 117 la 336 c. 2b). Le Tribunal cantonal considère que, sauf cas particulier, un délai de libération des locaux de quinze à vingt jours est admissible au stade de l’exécution forcée (Guignard, in Procédures spéciales vaudoises, Lausanne 2008, n. 3 ad art. 21 aLEPBL, p. 203). Dans le cas particulier, le délai fixé pour l’exécution forcée est de presque cinq semaines. Le principe de proportionnalité est donc respecté au regard des exigences jurisprudentielles. Au surplus, on rappelle que la recourante a bénéficié d’un délai supplémentaire dans le cadre du recours interjeté à l’encontre de l’ordonnance d’expulsion, recours rejeté par la cour de céans le 17 août 2012.</w:t>
      </w:r>
    </w:p>
    <w:p>
      <w:r>
        <w:rPr>
          <w:b/>
        </w:rPr>
        <w:t>E. 4</w:t>
      </w:r>
    </w:p>
    <w:p>
      <w:r>
        <w:t>En définitive, le recours, mal fondé, doit être rejeté dans la procédure de l’art. 322 al. 1 CPC et la décision d’exécution forcée confirmée. Les frais judiciaires de deuxième instance, arrêtés à 200 fr. (art. 69 al. 1 TFJC [tarif des frais judiciaires en matière civile du 28 septembre 2010; RSV 270.11.5]), sont mis à la charge de la recourante qui succombe (art. 106 al. 1 CPC). Il n’y a pas lieu à l’allocation de dépens, dès lors que les intimés n’ont pas été invités à se déterminer sur le recours. Par ces motifs, la Chambre des recours civile du Tribunal cantonal, statuant à huis clos, en application de l'art. 322 al. 1 CPC, prononce : I. Le recours est rejeté. II. La décision est confirmée. III. Les frais judiciaires de deuxième instance, arrêtés à 200 fr. (deux cents francs), sont mis à la charge de la recourante A.T.________. IV. L'arrêt motivé est exécutoire. Le président :               La greffière : Du 15 novembre 2012 Le dispositif de l'arrêt qui précède est communiqué par écrit aux intéressés. La greffière : Du L'arrêt qui précède, dont la rédaction a été approuvée à huis clos, est notifié en expédition complète, par l'envoi de photocopies, à : ‑ A.T.________ ‑ B.T.________ ‑ Jean-Marc Decollogny, aab (pour Q.________ et J.________)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