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709 vom 13. November 2012</w:t>
      </w:r>
    </w:p>
    <w:p>
      <w:r>
        <w:t>VD Tribunal cantonal, 2012-11-13, FR</w:t>
      </w:r>
    </w:p>
    <w:p>
      <w:r>
        <w:rPr>
          <w:b/>
        </w:rPr>
        <w:t xml:space="preserve">Quelle: </w:t>
      </w:r>
      <w:r>
        <w:t>https://mcp.opencaselaw.ch/entscheid/vd_findinfo_HC___2012___709</w:t>
      </w:r>
    </w:p>
    <w:p>
      <w:r>
        <w:t>FR: VD_FINDINFO HC / 2012 / 709 du 13 novembre 2012</w:t>
      </w:r>
    </w:p>
    <w:p>
      <w:r>
        <w:t>IT: VD_FINDINFO HC / 2012 / 709 del 13 novembre 2012</w:t>
      </w:r>
    </w:p>
    <w:p>
      <w:pPr>
        <w:pStyle w:val="Heading2"/>
      </w:pPr>
      <w:r>
        <w:t>Regeste</w:t>
      </w:r>
    </w:p>
    <w:p>
      <w:r>
        <w:t>APPRÉCIATION DES PREUVES, POUVOIR D'APPRÉCIATION | 319 let. a CPC (CH), 320 let. b CPC (CH)</w:t>
      </w:r>
    </w:p>
    <w:p>
      <w:pPr>
        <w:pStyle w:val="Heading2"/>
      </w:pPr>
      <w:r>
        <w:t>Erwägungen</w:t>
      </w:r>
    </w:p>
    <w:p>
      <w:r>
        <w:rPr>
          <w:b/>
        </w:rPr>
        <w:t>E. 1</w:t>
      </w:r>
    </w:p>
    <w:p>
      <w:r>
        <w:t>CPC), peu importe de savoir si les conclusions principales et reconventionnelles s'excluent (Tappy, CPC commenté, Bâle 2011, nn. 22-23 ad art. 94 CPC). En l’espèce, la valeur litigieuse est inférieure à 10'000 fr., de sorte que seule la voie du recours est ouverte (art. 319 let. a CPC). Déposé en temps utile (art. 321 al. 1 CPC) par une partie qui y a intérêt (art. 59 al. 2 let. a CPC), le recours est recevable à la forme.</w:t>
      </w:r>
    </w:p>
    <w:p>
      <w:r>
        <w:rPr>
          <w:b/>
        </w:rPr>
        <w:t>E. 1.1</w:t>
      </w:r>
    </w:p>
    <w:p>
      <w:r>
        <w:t>Le dispositif du jugement attaqué a été communiqué aux parties le 19 juillet 2012, de sorte que les voies de droit sont régies par le CPC (Code de procédure civile du 19 décembre 2010; RS 272), entré en vigueur le</w:t>
      </w:r>
    </w:p>
    <w:p>
      <w:r>
        <w:rPr>
          <w:b/>
        </w:rPr>
        <w:t>E. 1.2</w:t>
      </w:r>
    </w:p>
    <w:p>
      <w:r>
        <w:t>Pour déterminer quelle voie de droit, de l'appel ou du recours, est ouverte contre une décision finale de première instance rendue dans une cause patrimoniale, il y a lieu de se fonder sur la valeur litigieuse, calculée selon le droit fédéral, l’appel étant ouvert pour autant que cette valeur soit supérieure à 10'000 fr. (art. 308 al. 2 CPC). En cas de demande principale et reconventionnelle, la valeur litigieuse se détermine – notamment dans l'examen de la recevabilité – d'après la prétention la plus élevée (art. 94 al.</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fait valoir que le premier juge a arbitrairement apprécié les preuves dans sa décision, dès lors que le rapport d'expertise et les témoignages auraient dû le conduire à retenir que le dommage allégué par la défenderesse était imputable à la demanderesse. La recourante invoque la mauvaise foi de l'intimée, qui n'aurait répondu que le 18 octobre 2009 à la lettre du 23 septembre 2009 et qui aurait déclaré que la vitre était brisée avant la pose du film solaire. Elle soutient également que l'intimée assumait une tâche trop lourde puisque B.________ n'était aidé que par un ou deux employés et que l'échafaudage était installé dans une cour close et donc accessible uniquement à ceux-ci. Enfin, la recourante se fonde sur le témoignage d'P.________, selon lequel le verre a été brisé entre la fin de la pose des filtres et le démontage de l'échafaudage, de sorte que seule l'intimée peut être responsable du dommage. Le premier juge a considéré qu'il n'était pas établi que la demanderesse était à l'origine du dommage invoqué par la défenderesse. Il n'a pas ignoré le résultat de l'expertise et les témoignages invoqués par la recourante, selon lesquels le bris de verre résulte d'un choc mécanique et est intervenu postérieurement à la pose des filtres solaires, alors que la cour intérieure dans laquelle était posée l'échafaudage était fermée la nuit. Il a toutefois constaté que personne n'avait vu B.________ ou l'un de ses employés briser le verre. Ainsi, quand bien même il résulte de l'expertise que le bris de verre a eu lieu entre la fin de la pose des filtres et le démontage de l'échafaudage, le premier juge a considéré que le dommage ne pouvait pas être imputé avec suffisamment de certitude à la demanderesse. Cette appréciation n'a rien d'insoutenable. Même s'il faut donner acte à la recourante que la chronologie des faits semble désigner l'entreprise demanderesse comme pouvant être à l'origine des dégâts, le premier juge ne disposait pas d'éléments probatoires précis et directs au sujet de l'imputabilité du dommage. A cet égard, on peut notamment relever que tant les employés de la partie demanderesse que ceux de la partie défenderesse se sont à tout le moins trouvés sur l'échafaudage entre la fin de la pose des filtres solaires et le démontage de l'échafaudage. Il n'était donc pas arbitraire de la part du premier juge de considérer qu'une conviction intime ne pouvait être acquise au sujet de l'imputabilité du dommage. Contrairement à ce que soutient la recourante, on ne peut rien déduire de probant de l'échange de correspondances entre les parties les 23 septembre et 18 octobre 2009, celles-ci faisant apparemment suite à des entretiens téléphoniques et chaque partie campant sur ses positions. Il en va de même de l'absence d'avis des défauts du maître de l'ouvrage, puisqu'il résulte du dossier que la défenderesse a mis en œuvre de sa propre initiative l'entreprise [...] pour le remplacement du verre cassé. Quant à la prétendue sous-dotation de l'effectif de la demanderesse, cette circonstance – même si elle était avérée – n'aurait aucune pertinence en ce qui concerne l'origine du dommage. L'état de fait du jugement ne contient donc aucune constatation manifestement inexacte au sens de l'art. 320 let. b CPC.</w:t>
      </w:r>
    </w:p>
    <w:p>
      <w:r>
        <w:rPr>
          <w:b/>
        </w:rPr>
        <w:t>E. 4</w:t>
      </w:r>
    </w:p>
    <w:p>
      <w:r>
        <w:t>En conclusion, le recours doit être rejeté au regard de l'art. art. 322 al. 1 CPC et le jugement attaqué confirmé. Les frais judiciaires de deuxième instance, arrêtés à 400 fr. (art. 69 al. 1 et 70 al. 2 TFJC [tarif des frais judiciaires en matière civile du 28 septembre 2010; RSV 270.11.5]), sont mis à la charge de la recourante, qui succombe (art. 106 al. 1 CPC). L'intimée n'ayant pas été invitée à se déterminer, il n'est pas alloué de dépens. Par ces motifs, la Chambre des recours civile du Tribunal cantonal, statuant à huis clos, en application de l'art. 322 al. 1 CPC, prononce : I. Le recours est rejeté. II. Le jugement est confirmé. III. Les frais judiciaires de deuxième instance, par 400 fr. (quatre cents francs), sont mis à la charge de la recourante D.________.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 Jean-Marc Decollogny (pour D.________), ‑ M. Youri Diserens (pour L.________). La Chambre des recours civile considère que la valeur litigieuse est de 9'859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