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 vom 12. Dezember 2011</w:t>
      </w:r>
    </w:p>
    <w:p>
      <w:r>
        <w:t>VD Tribunal cantonal, 2011-12-12, FR</w:t>
      </w:r>
    </w:p>
    <w:p>
      <w:r>
        <w:rPr>
          <w:b/>
        </w:rPr>
        <w:t xml:space="preserve">Quelle: </w:t>
      </w:r>
      <w:r>
        <w:t>https://mcp.opencaselaw.ch/entscheid/vd_findinfo_HC___2012___70</w:t>
      </w:r>
    </w:p>
    <w:p>
      <w:r>
        <w:t>FR: VD_FINDINFO HC / 2012 / 70 du 12 décembre 2011</w:t>
      </w:r>
    </w:p>
    <w:p>
      <w:r>
        <w:t>IT: VD_FINDINFO HC / 2012 / 70 del 12 dicembre 2011</w:t>
      </w:r>
    </w:p>
    <w:p>
      <w:pPr>
        <w:pStyle w:val="Heading2"/>
      </w:pPr>
      <w:r>
        <w:t>Regeste</w:t>
      </w:r>
    </w:p>
    <w:p>
      <w:r>
        <w:t>, DROIT À UN DÉFENSEUR, INTERPRÈTE, ASSISTANCE JUDICIAIRE, NOTIFICATION DE LA DÉCISION, MOTIVATION DE LA DÉCISION, INDICATION DES VOIES DE DROIT, ASSISTANCE JUDICIAIRE, CHANCES DE SUCCÈS, DÉNUEMENT, DROIT À UN DÉFENSEUR, PROCÉDURE DE CONCILIATION, AUTORITÉ DE CONCILIATION | 117 CPC (CH), 118 al. 1 let. c CPC (CH)</w:t>
      </w:r>
    </w:p>
    <w:p>
      <w:pPr>
        <w:pStyle w:val="Heading2"/>
      </w:pPr>
      <w:r>
        <w:t>Erwägungen</w:t>
      </w:r>
    </w:p>
    <w:p>
      <w:r>
        <w:rPr>
          <w:b/>
        </w:rPr>
        <w:t>E. 1</w:t>
      </w:r>
    </w:p>
    <w:p>
      <w:r>
        <w:t>La voie du recours de l'art. 319 let. b ch. 1 CPC (Code de procédure civile du 19 décembre 2008; RS 272) est ouverte contre les décisions refusant l'assistance judiciaire (art. 121 CPC). Le recours, interjeté en temps utile, est ainsi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Les recourants font valoir qu'ils n'ont qu'un disponible de 1'097 fr., qui ne couvre pas le montant de base de leur minimum vital a)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RS 101). b) Selon la jurisprudence,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op. cit., nn. 17 ss ad art. 64 LTF, pp. 456 ss). Savoir quels critères il faut prendre en considération pour admettre l'indigence relève du droit; la détermination des actifs et passifs relève en revanche du fait (ATF 120 Ia 179). Il incombe donc au requérant de prouver les faits qui permettent de constater son indigence (Corboz, op. cit., n. 20 ad art. 64 LTF, p. 457). C'est la situation financière dans son ensemble qui compte, soit d'une part la totalité des revenus (gains accessoires compris), la fortune, les éventuelles créances contre des tiers et, d'autre part, les charges d'entretien et les engagements financiers auxquels le requérant ne peut échapper. S'agissant de la notion de ressources suffisantes au sens de l'art. 29 al. 3 Cst. et, partant, de l'art. 117 CPC, le Tribunal fédéral a précisé que cette notion ne se recoupe pas entièrement avec celle du minimum vital du droit des poursuites en ce sens qu'il n'y a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au montant de base afin d'atténuer la rigueur de ces normes (Corboz, op. cit., n. 26 ad art. 64 LTF, p. 459; Rüegg, Basler Kommentar, 2010, n. 12 ad art. 117 CPC, pp. 599-600; Emmel, Kommentar zur Schweizerischen Zivilprozessordnung, Sutter-Somm/Hasenböhler/Leuenberger Hrsg, 2010 [ci-après : Kommentar ZPO], n. 10 ad art. 117 CPC, p. 811). On tiendra en outre compte des primes d'assurances obligatoires ou usuelles ainsi que de la charge fiscale, pour autant que ces sommes soient plus ou moins régulièrement payées (Corboz, ibid.). En l'espèce, les revenus des recourants s'élèvent à 6'230 francs. Leur charge de loyer atteint 1'070 fr., celle d'assurance-maladie à 550 francs. Le recourant ne peut en outre échapper à une saisie de salaire de 1'500 fr. par mois et au remboursement, dans le cadre d'un sursis selon l'art. 123 LP, d'arriérés de primes d'assurance-maladie, par 522 fr. 75 et 429 fr. 80. Au total, ces charges atteignent 4'072 fr. 55. Le montant de base du droit des poursuites pour un couple s'élève à 1'700 fr. et à 400 fr. pour un enfant de moins de dix ans (cf. www.vd.ch/fr/themes/economie/poursuites-et-faillites/minimum-vital/). Majoré de 25 %, ce montant de base s'élève à 2'625 francs. Les charges totales des recourants, par 6'697 fr. 55 (4'072,55 + 2'625), dépassent ainsi leurs ressources, de sorte qu'il y a lieu de considérer que la condition de l'art. 117 let. a CPC est réalisée. Le recours doit être admis sur ce point. c)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seconds (TF 4A_455/2010 du 20 octobre 2010 ; ATF 133 III 614 c. 5 ; ATF 129 I 129 c. 2.3.1, JT 2005 IV 300). La situation doit être appréciée à la date du dépôt de la requête et sur la base d’un examen sommaire (ATF 133 III 614 c. 5 et les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CPC commenté, 2011, n. 31 ad art. 117 CPC, p. 474 et la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p. 475). La décision à cet égard ne saurait être renvoyée à l’issue de la procédure de première instance, ni être alors révoquée au vu de la tournure finalement prise par le procès (Rüegg, op. cit., n. 18 ad art. 117 CPC, p. 602). En l'espèce, le litige porte notamment sur la fixation d'un loyer initial, de sorte que l'on ne saurait considérer que l'opposition des recourants aux prétentions de l'intimé est manifestement irrecevable, prescrite ou infondée. La condition de l'art. 117 let. b CPC est ainsi réalisée. d/aa) L'art. 118 al. 1 let c CPC dispose que l'assistance judiciaire comprend la commission d'office d'un conseil juridique par le tribunal lorsque la défense des droits du requérant l'exige, en particulier lorsque la partie adverse est assistée d'un avocat, l'assistance d'un conseil juridique pouvant déjà être accordée pour la préparation du procès. L'art. 118 al. 1 let. c CPC pose ainsi une condition supplémentaire à l'octroi de l'assistance judiciaire sous la forme d'un conseil d'office, celle de la nécessité (Tappy, op. cit., n. 11 ad art. 118 CPC, p. 478). Il convient de prendre en compte, pour l'examen de cette condition, les éléments objectifs, soit l'importance de l'enjeu, la plus ou moins grande complexité de l'affaire en fait et en droit et les règles de procédure applicables (nécessité d'écritures soumises à un certain formalisme, instruction menée d'office ou non etc.). La soumission à la maxime inquisitoriale est un facteur permettant plus aisément d'agir seul. Toutefois, elle ne saurait par principe exclure la commission d'un conseil juridique, en particulier si la procédure est susceptible de porter une grave atteinte à la situation juridique du requérant (Tappy, op. cit., n. 13 ad art. 118 CPC, p. 479 et références). Il convient en outre de tenir compte d'éléments subjectifs, soit relatifs à la personne du requérant, à son âge, à sa formation et à sa plus ou moins grande familiarité avec la pratique judiciaire, voire à sa langue etc. (Tappy, op. cit., n. 15 ad art. 118 CPC, p. 479 et références). Ainsi un plaideur totalement inexpérimenté, ou ne comprenant pas la langue pourra avoir droit à un conseil d'office, même si les éléments objectifs ne sont pas réunis, les éléments subjectifs permettant de corriger dans un sens ou l'autre l'appréciation objective de la nécessité d'un conseil juridique (Tappy, op. cit., n. 15 et 16 ad art. 118 CPC, p. 479). bb) Il résulte de la réserve de la rémunération du conseil d'office prévue en matière de conciliation par l'art. 113 al. 1 CPC qu'un tel conseil peut être commis à ce stade de la procédure. Statuant sur l'octroi d'un conseil d'office dans le cadre d'une procédure de conciliation en matière de bail devant l'autorité de conciliation prévue par l'ancien art. 274a CO (Code des obligations du 30 mars 1911; RS 220),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Ia 264 c. 4 JT 1994 I 603). La proposition de décision au sens de l'art. 210 CPC étant de même nature que les décisions prima facie rendues par les autorités de conciliation prévues par l'art. 274a aCO (Bohnet, Code de procédure civile commenté, 2011, n. 3 ad art. 210 CPC, p. 788), ces considérations, qui mettent l'accent sur l'examen des éléments subjectifs, peuvent être appliquées au nouveau droit de procédure. cc) L'article 118 al. 1 let. c CPC impose le respect du principe de l'égalité des armes en ce sens qu'un conseil d'office doit être accordé lorsque la partie adverse est assistée d'un avocat. Cette hypothèse constitue un exemple de situation où l'assistance d'un conseil d'office est nécessaire (Tappy, op. cit., n. 2 ad art. 118 CPC, p. 477; Emmel, op. cit., n. 9 ad art. 118 CPC, p. 818). dd) En l'espèce, l'intimé est assisté en procédure par un avocat. Conformément au principe d'égalité des armes consacré à l'art. 118 al. 1 let. c CPC, il y a lieu de considérer que la condition de nécessité posée par cette disposition est réalisée, sans qu'il soit nécessaire d'examiner plus avant les éléments subjectifs réservés par le Tribunal fédéral dans l'arrêt paru aux ATF 119 Ia 264 précité. e) Il résulte de ce qui précède que les conditions d'octroi de l'assistance judiciaire sont réalisées, la franchise de 50 fr. proposée par les recourants dans leur demande pouvant leur être demandée.</w:t>
      </w:r>
    </w:p>
    <w:p>
      <w:r>
        <w:rPr>
          <w:b/>
        </w:rPr>
        <w:t>E. 4</w:t>
      </w:r>
    </w:p>
    <w:p>
      <w:r>
        <w:t>En conclusion, le recours doit être admis et l'assistance judiciaire accordée aux recourants avec effet au 13 septembre 2011 dans la cause les divisant d'avec l'intimé en ce sens que l'avocat César Montalto est désigné conseil d'office, une franchise mensuelle de 50 francs étant prévue Le présent arrêt est rendu sans frais. Il n'y a pas lieu d'allouer de dépens de deuxième instance, l'intimé s'en étant remis à justice quant aux conclusions des recourants (art. 106 al. 1 CPC a contrario). Par ces motifs, la Chambre des recours civile du Tribunal cantonal, statuant à huis clos, prononce : I. Le recours est admis. II. Il est statué à nouveau comme il suit : a) accorde à A. et B.F.________ le bénéfice de l'assistance judiciaire dans la cause en droit du bail les opposant à L.________. b) dit que le bénéfice de l'assistance judiciaire est accordé dans la mesure suivante : -              assistance d'office d'un avocat en la personne de Me César Montalto, avocat à Lausanne. c) dit que A. et B.F.________ paieront, solidairement entre eux, une franchise mensuelle de 50 francs dès et y compris le 1 er janvier 2012, à verser auprès du Service Juridique et Législatif, Secteur recouvrement, case postale, à 1014 Lausanne. III. Il n'est pas perçu de frais judiciaires, ni alloué de dépens. IV. L'arrêt motivé est exécutoire. Le président :               Le greffier : Du 14 décembre 2011 Le dispositif de l'arrêt qui précède est communiqué par écrit aux intéressés. Le greffier : Du L'arrêt qui précède, dont la rédaction a été approuvée à huis clos, est notifié en expédition complète, par l'envoi de photocopies, à : ‑ Me César Montalto (pour A. et B.F.________), ‑ Me Olivier Burnet (pour L.________). La Chambre des recours civile considère que la valeur litigieuse est de 14'725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