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699 vom 26. Oktober 2012</w:t>
      </w:r>
    </w:p>
    <w:p>
      <w:r>
        <w:t>VD Tribunal cantonal, 2012-10-26, FR</w:t>
      </w:r>
    </w:p>
    <w:p>
      <w:r>
        <w:rPr>
          <w:b/>
        </w:rPr>
        <w:t xml:space="preserve">Quelle: </w:t>
      </w:r>
      <w:r>
        <w:t>https://mcp.opencaselaw.ch/entscheid/vd_findinfo_HC___2012___699</w:t>
      </w:r>
    </w:p>
    <w:p>
      <w:r>
        <w:t>FR: VD_FINDINFO HC / 2012 / 699 du 26 octobre 2012</w:t>
      </w:r>
    </w:p>
    <w:p>
      <w:r>
        <w:t>IT: VD_FINDINFO HC / 2012 / 699 del 26 ottobre 2012</w:t>
      </w:r>
    </w:p>
    <w:p>
      <w:pPr>
        <w:pStyle w:val="Heading2"/>
      </w:pPr>
      <w:r>
        <w:t>Regeste</w:t>
      </w:r>
    </w:p>
    <w:p>
      <w:r>
        <w:t>AVOCAT D'OFFICE, INDEMNITÉ{EN GÉNÉRAL}, FRAIS DE VOYAGE, DÉPLACEMENT{SENS GÉNÉRAL}, ASSISTANCE JUDICIAIRE | 122 al. 1 let. a CPC (CH), 2 al. 1 RAJ</w:t>
      </w:r>
    </w:p>
    <w:p>
      <w:pPr>
        <w:pStyle w:val="Heading2"/>
      </w:pPr>
      <w:r>
        <w:t>Erwägungen</w:t>
      </w:r>
    </w:p>
    <w:p>
      <w:r>
        <w:rPr>
          <w:b/>
        </w:rPr>
        <w:t>E. 1</w:t>
      </w:r>
    </w:p>
    <w:p>
      <w:r>
        <w:t>Selon l'art. 319 let. b ch. 1 CPC (Code de procédure civile du 19 décembre 2008 ; RS 272) le recours est recevable contre les autres décisions et ordonnances d'instruction de première instance dans les cas prévus par la loi.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 rémunération du conseil juridique commis d'office est réglée par l'art. 122 CPC, figurant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 1; Tappy, op. cit., n. 22 ad art. 122 CP, p. 503). Formé en temps utile par une partie qui y a un intérêt digne de protection (art. 59 al. 2 let. a CPC), le présent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(Jeandin, CPC commenté, Bâle 2011, nn. 5 et 6 ad art. 320 CPC;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reproche au premier juge d'avoir considéré que l'heure consacrée à la vacation à Vevey, au Tribunal d'arrondissement de l'Est vaudois, ne pouvait être indemnisée, car il ne s'agissait pas d'une prestation intellectuelle. Selon le recourant, il a fourni une prestation – soit celle de se déplacer au lieu de l'audience pour assister son client – assimilable à toute autre prestation dans le cadre du mandat. Il invoque la violation de l’art. 2 al. 2 RAJ (Recte: art. 2 al. 1 RAJ [règlement sur l'assistance judiciaire du 7 décembre 2010; RSV 211.02.3]), dès lors que le critère de la prestation intellectuelle serait absent du texte clair de cette disposition et méconnaîtrait l’élément qui y est expressément prévu du temps consacré au dossier. Le recourant invoque également la violation du principe de l’indemnité équitable posée à l’art. 122 al. 1 let. a CPC. Comparant le déplacement en voiture et en train, le recourant se réfère en définitive à l’accord conclu entre le Ministère public et l’OAV (Ordre des avocats vaudois) pour préconiser un défraiement forfaitaire de 120 fr. par déplacement. b) Aux termes de l’art. 122 al. 1 let. a CPC, le conseil juridique commis d’office est rémunéré équitablement par le canton. L’art. 2 al. 1 RAJ (règlement du 7 décembre 2010 sur l'assistance judiciaire en matière civile ; RSV 211.02.3)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Le législateur a ainsi renoncé à imposer le principe d'une pleine indemnisation, de sorte que les principes arrêtés dans la jurisprudence (ATF 132 I 201) gardent toute leur validité dans le cadre de l'art. 122 CPC. L’indemnité due au défenseur d’office ne comprend pas seulement un montant représentant ses honoraires, mais également le remboursement de ses débours dans la mesure où ceux-ci ne dépassent pas ce qui est nécessaire à l’exécution de sa mission (JT 2002 III 204; ATF 122 I 1; ATF 117 Ia 22, précité c. 4b). Les dispositions précitées, qui régissent l'indemnisation du conseil d'office, ne contiennent toutefois aucune précision quant au temps consacré aux déplacements. Sous l'égide du code de procédure civile vaudoise, qui ne contenait également pas de précision à ce sujet, la jurisprudence a admis qu'une indemnité kilométrique et un forfait de vacation par demi-journée d'audience devaient être alloués à l'avocat d'office (JT 1974 III 12 ; Poudret/Haldy/Tappy, Procédure civile vaudoise, 3e éd., Lausanne 2002, n. 2 ad. art. 91 CPC-VD). S'agissant des défenses d'office en matière pénale, le Ministère public alloue en accord avec l'OAV un montant forfaitaire de 120 fr. aux défenseurs d'office et de 80 fr. aux avocats-stagiaires pour toute vacation, ce forfait couvrant les kilomètres parcourus et le temps du déplacement aller et retour. c) En l'espèce, le caractère nécessaire (art. 2 al. 1 RAJ) à l’exécution de la mission de l’avocat doit en principe être admis s’agissant du déplacement de celui-ci ou de son stagiaire au siège du tribunal où se tient l'audience. Cela étant, il y a lieu de déterminer quelle doit être la nature du défraiement de l’avocat d’office, à savoir si seuls ses frais de voyage doivent lui être remboursés ou si la prestation de "déplacement" doit être également indemnisée. Cette question mérite d'être clarifiée dans son principe, suite à l'entrée en vigueur de la nouvelle procédure. Il résulte tant de la jurisprudence rendue sous l'ancienne procédure que de la convention entre le Ministère public et l'OAV que l'avocat d'office doit être indemnisé pour ses vacations, fût-ce sous forme forfaitaire. Pendant ses déplacements, l’avocat n’est en principe pas en mesure de consacrer son temps à d’autres causes. En matière de représentation privée, il est d'ailleurs admis que les déplacements peuvent être facturés au tarif plein si l'avocat ne peut travailler en même temps sur un autre dossier (Bohnet/Martenet, Droit de la profession d'avocat, Berne 2009, n. 2962, p. 1170; Fellmann, Kommentar zum Anwaltsgesetz, 2 e éd., Zurich 2011, n. 164, p. 304). On ne saurait toutefois appliquer cette solution à l'assistance judiciaire et indemniser l'avocat d'office au tarif horaire de 180 fr., la prestation de "déplacement", dépourvue de rendement intellectuel, ne pouvant être assimilée à du temps de travail. En l'espèce, la solution retenue par le Parquet et l'OAV paraît opportune et avoir les mérites de la clarté et de la simplicité. Il convient, pour des motifs de cohérence, de l'adopter également dans le domaine de l'assistance judiciaire en matière civile pour indemniser les vacations des conseils d'office. Ainsi, il y a lieu d'arrêter un montant de 120 fr. pour un avocat breveté et de 80 fr. pour un stagiaire, ce forfait valant pour tout le canton et couvrant tant les kilomètres parcourus que le temps du déplacement aller-retour. Les inégalités pouvant découler de ce système, le montant versé étant le même quelle que soit la durée du déplacement, s'équilibreront sur l'ensemble des mandats d'office traités par un conseil. d) En l'occurrence, la vacation dont il est question a été effectuée par la stagiaire du conseil d'office de sorte qu'un montant forfaitaire de 80 fr., comprenant les kilomètres parcourus et la durée du voyage, devrait être alloué. Toutefois en l’espèce, il apparaît justifié d'allouer un montant de 60 fr., TVA en sus, au recourant, dès lors que des débours par 26 fr. 60, TVA non comprise, ont déjà été retenus par le premier juge pour les kilomètres parcourus. En prenant en compte les débours, par 26 fr. 60, et un montant de 60 fr., le défraiement de la vacation équivaut environ au montant forfaitaire de 80 fr. applicable aux avocats-stagaires. L’indemnité du recourant, fixée par le premier juge à 628 fr. 15, doit ainsi être augmentée d'un montant de 60 fr., plus TVA à 8%, soit 64 fr. 80.</w:t>
      </w:r>
    </w:p>
    <w:p>
      <w:r>
        <w:rPr>
          <w:b/>
        </w:rPr>
        <w:t>E. 4</w:t>
      </w:r>
    </w:p>
    <w:p>
      <w:r>
        <w:t>En définitive le recours doit être admis et le prononcé attaqué réformé en ce sens que l'indemnité allouée au recourant est fixée à 692 fr. 95, débours et TVA inclus. Le recours étant admis, les frais judiciaires de deuxième instance, arrêtés à 100 fr. (art. 69 al. 1 TFJC [tarif des frais judiciaires civils du 28 septembre 2010; RSV 170.11.5]), sont laissés à la charge de l'Etat. Par ces motifs, la Chambre des recours civile du Tribunal cantonal, statuant à huis clos, prononce : I. Le recours est admis. II. La décision est réformée au chiffre I de son dispositif comme il suit : I. fixe l'indemnité du conseil d'office de L.________, allouée à Me R.________, à 692 fr. 95 (six cent nonante-deux francs et nonante-cinq centimes), débours et TVA inclus, pour la période du 5 mai au 13 juillet 2012. La décision est confirmée pour le surplus. III. Les frais judiciaires de deuxième instance sont laissés à la charge de l'Etat. IV. L'arrêt motivé est exécutoire. Le président :               Le greffier : Du 29 octobre 2012 Le dispositif de l'arrêt qui précède est communiqué par écrit aux intéressés. Le greffier : Du L'arrêt qui précède, dont la rédaction a été approuvée à huis clos, est notifié en expédition complète, par l'envoi de photocopies, à : ‑ Me R.________ ‑ Mme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