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698 vom 30. Oktober 2012</w:t>
      </w:r>
    </w:p>
    <w:p>
      <w:r>
        <w:t>VD Tribunal cantonal, 2012-10-30, FR</w:t>
      </w:r>
    </w:p>
    <w:p>
      <w:r>
        <w:rPr>
          <w:b/>
        </w:rPr>
        <w:t xml:space="preserve">Quelle: </w:t>
      </w:r>
      <w:r>
        <w:t>https://mcp.opencaselaw.ch/entscheid/vd_findinfo_HC___2012___698</w:t>
      </w:r>
    </w:p>
    <w:p>
      <w:r>
        <w:t>FR: VD_FINDINFO HC / 2012 / 698 du 30 octobre 2012</w:t>
      </w:r>
    </w:p>
    <w:p>
      <w:r>
        <w:t>IT: VD_FINDINFO HC / 2012 / 698 del 30 ottobre 2012</w:t>
      </w:r>
    </w:p>
    <w:p>
      <w:pPr>
        <w:pStyle w:val="Heading2"/>
      </w:pPr>
      <w:r>
        <w:t>Regeste</w:t>
      </w:r>
    </w:p>
    <w:p>
      <w:r>
        <w:t>EXPULSION{DROIT DES ÉTRANGERS}, MESURE DE CONTRAINTE{DROIT DES ÉTRANGERS}, DÉTENTION AUX FINS D'EXPULSION | 73 al. 1 LOJV, 76 al. 1 let. b ch. 2 LEtr, 76 al. 1 let. b ch. 3 LEtr, 76 al. 1 let. b ch. 4 LEtr, 76 al. 4 LEtr, 79 LEtr, 17 LVLEtr, 30 LVLEtr, 31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(art. 30 al. 1 LVLEtr [loi d’application dans le canton de Vaud de la législation fédérale sur les étrangers du 18 décembre 2007, RSV 142.11] ; art. 80 aI. 1 LEtr [loi fédérale sur les étrangers du 16 décembre 2005, RS 142.20]). Il est de la compétence de la Chambre des recours civile (art. 71 et 73 al. 1 LOJV [loi d’organisation judiciaire du 12 décembre 1979, RSV 173.01] et art. 18 aI. 3 let. c ROTC [règlement organique du Tribunal cantonal du 13 novembre 2007 dans sa teneur en vigueur dès le 1 er janvier 2011, selon novelle du 7 décembre 2010, RSV 173.31.1]). Déposé le 16 octobre 2012, soit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En l’espèce, le recourant requiert la fixation d’une audience et l’assignation de Mme [...], son amie, dont il prétend qu’elle est enceinte d’un enfant dont il serait le père, et la fixation d’un délai pour produire une attestation médicale, ainsi que divers documents relatifs à son état de santé. Toutefois, le recourant n’a jamais fait état de problèmes de santé lors de son audition par le premier juge, ni rendu vraisemblable la nécessité de produire des documents médicaux concernant son état de santé ou celui de son amie, documents qu’il pouvait invoquer d’entrée en première instance. Les mesures d’instruction requises par le recourant doivent dès lors être rejetées.</w:t>
      </w:r>
    </w:p>
    <w:p>
      <w:r>
        <w:rPr>
          <w:b/>
        </w:rPr>
        <w:t>E. 3</w:t>
      </w:r>
    </w:p>
    <w:p>
      <w:r>
        <w:t>Le Juge de paix du district de Lausanne est l’autorité compétente pour ordonner la détention administrative au sens de l’art. 15 LVLEtr en vertu de l’art. 17 LVLEtr. Saisi d’une requête motivée et documentée du SPOP du 15 juin 2012,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5 octobre 2012 au recourant, soit dans le délai légal de nonante-six heures (art. 16 al. 1 LVLEtr). Par conséquent, la procédure suivie a été régulière.</w:t>
      </w:r>
    </w:p>
    <w:p>
      <w:r>
        <w:rPr>
          <w:b/>
        </w:rPr>
        <w:t>E. 4</w:t>
      </w:r>
    </w:p>
    <w:p>
      <w:r>
        <w:t>a) Le recourant se plaint d’une motivation insuffisante de l’ordonnance querellée, dans la mesure où le premier juge n’aurait pas expliqué les motifs qui lui permettaient de douter de ses déclarations. b) Se fondant sur les déclarations du recourant lors de l’audience du 4 octobre 2012, le premier juge a retenu que l’intéressé souhaitait rentrer dans son pays d’origine. Toutefois, le premier juge a considéré, tant par le comportement du recourant jusqu’à son arrestation que par ses déclarations contradictoires avec son attitude, que celui-ci n’avait aucun intention de collaborer à son départ. Il ressort du dossier que le recourant a refusé de signer une déclaration volontaire de retour et que ce dernier a disparu en février 2012. L’appréciation du premier juge est dès lors corroborée par les éléments figurant au dossier. c) Dans ces circonstances, les griefs émis par le recourant sont infondés.</w:t>
      </w:r>
    </w:p>
    <w:p>
      <w:r>
        <w:rPr>
          <w:b/>
        </w:rPr>
        <w:t>E. 5</w:t>
      </w:r>
    </w:p>
    <w:p>
      <w:r>
        <w:t>a) Le recourant se plaint d’une constatation inexacte des faits, dans la mesure où elle est incomplète. Il aurait une amie, Mme [...], ressortissante soudanaise et titulaire du permis C, qui serait enceinte de deux mois d’un enfant dont il serait le père. De telles circonstances impliquent qu’il pourrait être mis au bénéfice d’un regroupement familial et que son renvoi serait dès lors impossible. b) D’une part, il résulte du procès-verbal d’audition devant le premier juge que, à aucun moment, le recourant n’a évoqué cette prétendue circonstance de fait. Il est dès lors abusif de sa part de soutenir que l’ordonnance attaquée est incomplète sur ce point. D’autre part, si un projet de mariage peut certes s’opposer à l’exécution d’un renvoi, les papiers nécessaires à sa conclusion doivent toutefois être réunis, une date fixe arrêtée pour la célébration du mariage et la délivrance d’une autorisation de séjour à bref délai garantie (TF 2A.38/2005 du 4 février 2005). Or, en l’espèce, outre le fait que le recourant ne peut pas prétendre à une autorisation de séjour en raison de ses condamnations pénales, il ne ressort en rien du dossier qu’une date de mariage aurait été fixée. Quant à des démarches de reconnaissance d’un enfant, elles sont par définition impossibles, puisqu’il s’agit d’une grossesse non encore à terme. Les conditions posées par la jurisprudence ne sont dès lors pas remplies. c) Par conséquent, le grief du recourant sur ce point est infondé.</w:t>
      </w:r>
    </w:p>
    <w:p>
      <w:r>
        <w:rPr>
          <w:b/>
        </w:rPr>
        <w:t>E. 6</w:t>
      </w:r>
    </w:p>
    <w:p>
      <w:r>
        <w:t>a) Le recourant invoque le caractère disproportionné de la mesure de détention. En effet, ses tentatives de suicide et son état psychique excluraient son maintien en détention. b) En vertu de l’art. 76 al. 1 let. b LEtr (loi fédérale sur les étrangers du 16 décembre 2005 ; RS 142.20), lorsqu’une décision de renvoi ou d’expulsion de première instance a été notifiée, l’autorité compétente peut, afin d’en assurer l’exécution, mettre la personne en détention, par exemple si des éléments concrets font craindre que la personne concernée entende se soustraire au renvoi ou à l’expulsion, en particulier parce qu’elle ne se soumet pas à son obligation de collaborer en vertu de l’art. 90 de la présente loi ou de l’art. 8 al. 1, let. a ou al. 4 LAsi (ch. 3) ; ou si son comportement permet de conclure qu’elle se refuse à obtempérer aux instructions des autorités (ch. 4). Si le dossier révèle des indices de troubles psychiques, il révèle également que le recourant adopterait un comportement permettant de craindre qu’il se soustraie à son renvoi et refuserait d’obtempérer aux instructions des autorités, notamment lorsqu’il a refusé de signer la déclaration de retour volontaire et disparu peu de temps après. Il est dès lors justifié que le recourant ait réintégré l’établissement de Frambois, le 16 octobre 2012, où il peut poursuivre un éventuel traitement médical sans encombre, ni difficulté, hors d’éventuelles périodes d’hospitalisation, jusqu’à son renvoi. Au surplus, comme le relève le SPOP, les démarches entreprises en vue de l’exécution du renvoi se poursuivent sans discontinuer, à satisfaction des devoirs de diligence et de célérité, selon l’art. 76 al. 4 LEtr. Dès le 4 octobre 2012, ce service a requis la réservation d’un vol à destination de Lagos, lequel est fixé au 29 novembre 2012. Par conséquent, la mesure contestée respecte le principe de proportionnalité dès lors que le refoulement du recourant pourra manifestement être exécuté avant l’échéance du délai maximal de détention de 18 mois prévu par la loi. Selon le Tribunal fédéral, ce n’est que lorsque des raisons sérieuses laissent penser que la mesure d’éloignement ne pourra certainement pas intervenir avant la fin du délai légal qu’une détention est inadmissible sous l’angle de la proportionnalité (TF2A_549/2003 du 3 décembre 2003). c) Le grief du recourant sur ce point est dès lors infondé.</w:t>
      </w:r>
    </w:p>
    <w:p>
      <w:r>
        <w:rPr>
          <w:b/>
        </w:rPr>
        <w:t>E. 7</w:t>
      </w:r>
    </w:p>
    <w:p>
      <w:r>
        <w:t>Au vu de ce qui précède, le recours doit être rejeté et l’ordonnance attaquée confirmée. Le présent arrêt peut être rendu sans frais.</w:t>
      </w:r>
    </w:p>
    <w:p>
      <w:r>
        <w:rPr>
          <w:b/>
        </w:rPr>
        <w:t>E. 8</w:t>
      </w:r>
    </w:p>
    <w:p>
      <w:r>
        <w:t>Selon l’art. 25 al. 1 LVLEtr, lorsque la personne détenue est indigente, le conseil d’office reçoit une indemnité à la charge de la caisse de l’Etat, les dispositions relatives à la rémunération des défenseurs d’office en matière pénale étant applicables. Au regard des opérations accomplies par le conseil d’office, il y a lieu de lui allouer une indemnité d’office arrêtée à 1’260 fr. (7 heures et 10 minutes x 180 fr., art. 135 al. 1 CPP [Code de procédure pénale du 5 octobre 2007, RS 312.0]; par analogie art. 2 RAJ [règlement sur l’assistance judiciaire en matière civile du 7 décembre 2010, RSV 211.02.3]) et des débours arrêtés à 50 fr., TVA au taux de 8% en sus, soit une indemnité d’office de 1’436 fr. 40, TVA et débours compris. Par ces motifs, la Chambre des recours civile du Tribunal cantonal, statuant à huis clos, prononce : I. Le recours est rejeté. II. L'ordonnance est confirmée. III. L’arrêt est rendu sans frais. IV. L’indemnité d’office de Maître Thierry de Mestral, conseil du recourant, est arrêtée à 1'436 fr. 40 (mille quatre cent trente-six francs et quarante centimes) TVA et débours compris. V. L’arrêt motivé est exécutoire. Le président :               La greffière : Du 31 octobre 2012 Le dispositif de l'arrêt qui précède est communiqué par écrit aux intéressés. La greffière : Du L'arrêt qui précède, dont la rédaction a été approuvée à huis clos, est notifié en expédition complète, par l’envoi de photocopies, à : ‑ Me Thierry de Mestral,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