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694 vom 5. November 2012</w:t>
      </w:r>
    </w:p>
    <w:p>
      <w:r>
        <w:t>VD Tribunal cantonal, 2012-11-05, FR</w:t>
      </w:r>
    </w:p>
    <w:p>
      <w:r>
        <w:rPr>
          <w:b/>
        </w:rPr>
        <w:t xml:space="preserve">Quelle: </w:t>
      </w:r>
      <w:r>
        <w:t>https://mcp.opencaselaw.ch/entscheid/vd_findinfo_HC___2012___694</w:t>
      </w:r>
    </w:p>
    <w:p>
      <w:r>
        <w:t>FR: VD_FINDINFO HC / 2012 / 694 du 5 novembre 2012</w:t>
      </w:r>
    </w:p>
    <w:p>
      <w:r>
        <w:t>IT: VD_FINDINFO HC / 2012 / 694 del 5 novembre 2012</w:t>
      </w:r>
    </w:p>
    <w:p>
      <w:pPr>
        <w:pStyle w:val="Heading2"/>
      </w:pPr>
      <w:r>
        <w:t>Regeste</w:t>
      </w:r>
    </w:p>
    <w:p>
      <w:r>
        <w:t>OBLIGATION D'ENTRETIEN, REVENU HYPOTHÉTIQUE | 176 al. 1 ch. 1 CC</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suisse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b) En l’espèce, tant l’appel de l’épouse que celui du mari ont été déposés en temps utile et l’on peut considérer que la valeur litigieuse dépasse 10'000 fr. pour chacun des appels, dès lors que l’appel de l’épouse ne porte pas seulement sur la contribution d’entretien mensuelle de 500 fr. qu’elle a été condamnée à verser à son mari pour une durée de six mois, mais également sur la fixation de la contribution qu’elle réclame à son mari pour l’entretien de l’enfant B.E.________.</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op. cit., pp. 136-137 ; Jeandin, in CPC commenté, Bâle 2011, n. 5 ad art. 296 CPC et les réf. citées).</w:t>
      </w:r>
    </w:p>
    <w:p>
      <w:r>
        <w:rPr>
          <w:b/>
        </w:rPr>
        <w:t>E. 3</w:t>
      </w:r>
    </w:p>
    <w:p>
      <w:r>
        <w:t>Il convient d’examiner en premier lieu l’appel de l’épouse, qui tend exclusivement à l’annulation de l’ordonnance attaquée. a) L’art. 311 al. 1 CPC exige uniquement que l’appel soit écrit et motivé ; à l’instar cependant de l’acte introductif d’instance (art. 202 al. 2 CPC pour la procédure de conciliation, art. 221 al. 1 let. b CPC pour la procédure ordinaire, art. 244 aI. 1 let. b pour la procédure simplifiée, art. 252 CPC en lien avec les art. 219 et 221 al. let. b CPC pour la procédure sommaire et 290 let. b à d CPC pour la procédure de divorce), l’acte d’appel doit également contenir des conclusions (ATF 137 III 617, rés. in SJ 2012 I 373, c. 4.2.2 et les références citées). Celles-ci doivent être rédigées d’une manière suffisamment précise pour pouvoir être reprises telles quelles dans le dispositif de la décision à rendre ; il s’ensuit qu’en matière pécuniaire, les conclusions d’appel doivent être chiffrées (ATF 137 III 617, rés. in SJ 2012 I 373, c. 4.3 et 4.4 et les références citées). Cette exigence vaut également, devant l’instance d’appel, pour la procédure applicable aux enfants dans les affaires de droit de la famille, même lorsque le juge établit les faits d’office, conformément à la maxime inquisitoire selon l’art. 272 CPC, et n’est pas lié par les conclusions des parties, conformément à la maxime d’office selon l’art. 296 al. 3 CPC (ATF 137 III 617, rés. in SJ 2012 I 373, c. 4.5 et 5 et les références citées). Il n’appartient pas à l’instance d’appel de fixer un délai à l’appelant pour faire préciser ses conclusions si celles-ci ne sont pas suffisamment précises, l’art. 132 al. 1 et 2 CPC ne s’appliquant pas dans une telle situation (ATF 137 III 617, rés. in SJ 2012 I 373, c. 6.4). L’irrecevabilité de conclusions d’appel au motif que celles-ci ne sont pas chiffrées peut toutefois contrevenir au principe de l’interdiction du formalisme excessif ; l’instance d’appel doit ainsi, à titre exceptionnel, entrer en matière lorsque le montant réclamé ressort de la motivation de l’appel, à tout le moins mise en relation avec le dispositif de la décision attaquée (ATF 137 III 617, rés. in SJ 2012 I 373, c. 6.1 et 6.2). b) L’appel ordinaire de l’art. 308 CPC déploie principalement un effet réformatoire, ce qui signifie que l’instance d’appel est en mesure de statuer elle-même sur le fond en rendant une décision qui tranche le fond du litige et se substitue à la décision de première instance (Jeandin, op. cit., n. 2 et 3 ad art. 311 CPC). L’appelant ne saurait dès lors – sous peine d’irrecevabilité – se limiter à conclure à l’annulation de la décision attaquée, mais doit, au contraire, prendre des conclusions au fond permettant à l’instance d’appel de statuer à nouveau (Jeandin, op. cit., n. 4 ad art. 311 CPC; Reetz/Theiler, ZPO-Kommentar, n. 34 ad art. 311 CPC). Une conclusion en annulation liée à une conclusion en renvoi de la cause à l’autorité précédente peut tout au plus entrer en ligne de compte lorsque l’autorité d’appel ne pourrait décider elle-même et devrait renvoyer la cause au premier juge, soit qu’un élément essentiel de la demande n’a pas été jugé, soit que l’état de fait doit être complété sur des points essentiels (art. 318 al. 1 let. c CPC; Hungerbühler, DIKE-Kommentar, n. 17 ad art. 311 CPC ; Juge délégué CACI 30 avril 2012/200 c. 2a ; Juge délégué CACI 1 er novembre 2011/329). Le renvoi devant l’instance précédente demeure l’exception, si bien que l’art. 318 al. 1 let. c CPC doit s’interpréter restrictivement (Jeandin, op. cit., n. 4 ad art. 318 CPC; Tappy, Les voies de droit du nouveau Code de procédure civile, JT 2010 III 148). Pour le surplus, il ne saurait être remédié à des conclusions déficientes par l’octroi d’un délai pour guérir le vice au sens de l’art. 132 CPC (ATF 137 III 617, rés. in SJ 2012 I 373, c. 6.4; Jeandin, op. cit., n. 5 ad art. 3 12 CPC). c) En l'espèce, les conclusions prises par l’appelante S.________ tendent exclusivement à l’annulation de l’ordonnance attaquée et au renvoi de la cause au premier juge. Dans la mesure où ces conclusions sont prises par une partie assistée d'un mandataire professionnel, elles sont dénuées d'ambiguïté et ne sauraient être interprétées comme tendant à la réforme de l'ordonnance attaquée. Elles ne sont au demeurant pas chiffrées. A l’appui de ses conclusions, l’appelante reproche au premier juge de ne pas avoir statué sur sa conclusion, prise à l’audience du 2 juillet 2012 et inscrite au procès-verbal (cf. art. 252 al. 2 CPC), tendant à la fixation de la contribution due par le mari pour l’entretien de l’enfant B.E.________, d’avoir instruit de manière lacunaire sur les revenus du mari, et d’avoir fixé la contribution d’entretien due par l’épouse à son mari en considérant à tort que la base du taux d’activité de l’épouse relevait d’un choix personnel et en prenant donc en compte un revenu correspondant à une activité à plein temps. Or on ne voit pas pourquoi la Cour de céans, à supposer que les griefs de l'appelante doivent être accueillis favorablement, ne serait pas en mesure de statuer elle-même sur le fond en rendant une décision qui tranche le fond du litige et se substitue à la décision de première instance. Le premier juge a exposé, sur la base des preuves administrées en première instance, tous les éléments nécessaires pour qu’il puisse être statué tant sur les conclusions du mari tendant au versement par l’épouse d’une contribution à son entretien que sur les conclusions de l’épouse tendant au versement par le mari d’une contribution à l’entretien de l’enfant B.E.________. Compte tenu de son pouvoir d'examen, la cour de céans aurait ainsi été parfaitement en mesure de statuer elle-même tant sur le montant de la contribution d’entretien qui serait due par le mari pour l’entretien de son enfant si l’on devait retenir, au contraire du premier juge, qu’une telle contribution n’entamerait pas le minimum vital du débirentier, que sur le principe et le montant de la contribution de l’épouse à l’entretien du mari. d) Il résulte de ce qui précède que l'appel de S.________ ne peut qu'être déclaré irrecevable.</w:t>
      </w:r>
    </w:p>
    <w:p>
      <w:r>
        <w:rPr>
          <w:b/>
        </w:rPr>
        <w:t>E. 4</w:t>
      </w:r>
    </w:p>
    <w:p>
      <w:r>
        <w:t>Il convient dès lors d’examiner l’appel du mari, qui tend à la réforme de l’ordonnance entreprise en ce sens que la pension due par son épouse soit fixée à 1'100 fr. (mille cent francs) par mois et soit due pour une durée indéterminée. a) L’autorité d’appel pouvant revoir librement l’appréciation des faits sur la base des preuves administrées en première instance, il y a lieu à cet égard d’examiner en premier lieu, avant même la question du montant et de la durée d’une éventuelle contribution de l’épouse à l’entretien du mari, la question de savoir si l’épouse dispose des ressources nécessaires pour couvrir ses propres charges incompressibles et celles de l’enfant dont elle a la garde. En effet,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 135 III 66 c. 2; 126 I 353 c. 1a/aa; 123 III 1 c. 3b/bb et 5 in fine). b) D'après l'art. 176 al. 1 ch. 1 CC,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 – 40 % ou de deux tiers – un tiers (Perrin, La méthode du minimum vital, in SJ 1993, p. 447). Selon la jurisprudence, le juge fixe les contributions d'entretien en se fondant, en principe, sur le revenu effectif réalisé par chacun des époux.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(ATF 128 III 4 précité c. 4a; TF 5C.40/2003 du 6 juin 2003 c. 2.1.1 partiellement paru aux ATF 129 III 577; TF 5A_685/2007 du 26 février 2008 c. 2.3; TF 5A_170/2007 du 27 juin 2007 c. 3.1). Toutefois, la capacité de pourvoir soi-même à son entretien est susceptible d'être limitée totalement ou partiellement par la charge que représente la garde des enfants.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(ATF 137 III 102 c. 4.2.2.2 et les réf. citées). c/aa) En l’espèce, il est constant qu’au moment de la naissance de son fils B.E.________, le [...] 2011, S.________ était employée à plein temps au [...], soit à 70% à la [...] et à 30% à [...]. Ses revenus mensuels nets s’élevaient alors à 3'010 fr. 95 et 1'311 fr. 75, soit 4'322 fr. 70 servis treize fois l’an. Le cumul de ces deux postes correspondait ainsi à une activité à plein temps pour un revenu mensuel net de 4'682 fr., treizième salaire compris, allocations familiales en sus. Il résulte du dossier et des explications de l’épouse que celle-ci a repris son travail le 15 mai 2012 après son congé maternité et ses vacances et qu’elle a alors rapidement réalisé qu’elle ne pouvait continuer à s’occuper de son fils B.E.________ tout en poursuivant son activité à plein temps. Selon les certificats médicaux établis les 25 avril et 19 juin 2012 par la pédiatre de l’enfant, la Dresse [...], B.E.________ est porteur d’une trisomie 21, affection congénitale qui nécessite une prise en charge médicale régulière ainsi que des traitements spécialisés durant toute l’enfance ; il est et sera au bénéfice de nombreuses prises en charge spécialisées ; il subit une surveillance régulière en raison d’une malformation cardiaque associée et est actuellement au bénéfice d’un traitement hebdomadaire de physiothérapie ; par ailleurs, une éducatrice du Service Educatif Itinérant a également été sollicitée pour la prise en charge développementale de B.E.________ à raison d’une fois par semaine. Ainsi, afin de pouvoir s’occuper de son fils qui devait suivre des thérapies à raison de plusieurs heures par semaine, l’épouse a demandé à son employeur de pouvoir réduire à 80% son taux d’activité professionnelle, soit de passer de 30% à 20% à [...] et de 70% à 60% à la [...], ce qui lui a été accordé avec effet au 1 er juillet 2012. Depuis cette date, son salaire mensuel s’élève à 3'745 fr., treizième salaire compris, allocations familiales en sus. Contrairement à ce qu’a retenu le premier juge, on ne saurait considérer que la réduction par l'appelante S.________ de son taux d’activité, en raison de la naissance et du handicap de son fils et dès qu’elle a pu constater que la prise en charge de celui-ci ne serait pas possible en travaillant à 100%, ne ressortit pas d’un simple choix personnel qui justifierait de lui imputer, en dépit de la réduction effective de son taux d’activité et donc de ses revenus, un salaire correspondant une activité à 100% telle qu’exercée jusqu’au 30 juin 2012. En effet, il est établi que l’enfant, porteur de trisomie 21, est et sera au bénéfice de nombreuses prises en charge spécialisées qui impliquent une mobilisation de la mère de l’enfant à chaque prise en charge, qu’il s’agisse pour l’heure d’une visite médicale, de soins de physiothérapie ou de la visite hebdomadaire de l’éducatrice du Service éducatif itinérant. On ne saurait ainsi reprocher à l’épouse de faire preuve de mauvaise volonté en travaillant à 80% au lieu de 100% et l’on ne peut lui demander raisonnablement de faire un effort supplémentaire, la naissance de B.E.________ et son handicap constituant un changement important dans sa situation qui justifie objectivement un taux d’activité légèrement réduit. Il s’ensuit que c’est un revenu de 3'745 fr., treizième salaire compris, correspondant au taux d’activité effectif de 80%, qui doit être pris en compte pour l’épouse. bb) S’agissant des charges incompressibles de S.________, celles-ci se présentent comme suit : - base mensuelle pour elle-même 1’350 fr. - base mensuelle de B.E.________ 400 fr. - loyer 680 fr. - primes d’assurance-maladie 490 fr. - place de parc CHUV 70 fr. - frais de transport (voiture) 250 fr. - frais de repas à l’extérieur 200 fr. - frais médicaux 40 fr. - frais de garderie 210 fr. Total 3’690 fr. Contrairement à ce que soutient l'appelant A.E.________, il ne ressort pas du bulletin de salaire de l’épouse que les frais de repas seraient d’ores et déjà pris en charge par son employeur, mais bien que certains frais de repas lui sont facturés par retenue sur son salaire. Il sied en outre de rappeler qu’au vu de la situation financière précaire, il n’a pas été tenu compte dans les charges ci-dessus de la charge fiscale de l’épouse qui s’élève à quelque 600 fr. par mois. cc) Il apparaît ainsi que le salaire de S.________ (3'745 fr.) permet juste de couvrir ses charges incompressibles (3'690 fr.), sans compter les impôts, le solde positif n’étant que de 55 francs. En prenant en compte le fait que les problèmes de santé de l’enfant B.E.________ peuvent engendrer des frais extraordinaires et inopinés, de sorte qu’il convient de laisser à l’épouse une réserve pour les imprévus, comme l’a retenu à raison le premier juge, force est de constater que l’épouse n’est pas en mesure de contribuer à l’entretien de son mari sans entamer son minimum vital et celui de l’enfant B.E.________. dd) Il résulte de ce qui précède que l'appel du mari, manifestement mal fondé, doit être rejeté.</w:t>
      </w:r>
    </w:p>
    <w:p>
      <w:r>
        <w:rPr>
          <w:b/>
        </w:rPr>
        <w:t>E. 5</w:t>
      </w:r>
    </w:p>
    <w:p>
      <w:r>
        <w:t>a) En conclusion, l’appel de l’épouse doit être déclaré irrecevable (cf. c. 3 supra), tandis que celui du mari doit être rejeté (cf. c. 4 supra), ce qui entraîne la confirmation de l’ordonnance entreprise. b) L’épouse plaidant au bénéfice de l’assistance judiciaire, les frais judiciaires de deuxième instance afférents à son appel, qui doivent être arrêtés à 600 fr. (art. 65 al. 2 TFJC [Tarifs des frais judiciaires civils du 28 septembre 2010; RSV 270.11.5]), seront laissés à la charge de l’Etat (art.122 al. 1 let. b CPC). L’indemnité d’office de Me Jacques-Henri Bron, conseil d’office de S.________, pour la procédure de deuxième instance sera arrêtée à 1'252 fr. 80, comprenant un défraiement de 1'080 fr., des débours de 80 fr. et la TVA sur ces montants par 92 fr. 80 (art. 122 al. 2 CPC ; art. 2 al. 1 RAJ [Règlement du 7 décembre 2010 sur l’assistance judiciaire en matière civile; RSV 211.02.3]). Dans la mesure de l’art. 123 CPC, la bénéficiaire de l'assistance judiciaire est tenue au remboursement des frais judiciaires et de l’indemnité à son conseil d’office mis à la charge de l’Etat. c) La requête d'assistance judiciaire de A.E.________ doit être rejetée dans la mesure où son appel, manifestement mal fondé, était dénué de chance de succès (art. 117 al. 1 let. b CPC). Par conséquent, les frais judiciaires de deuxième instance afférents à cet appel, qui doivent être arrêtés à 600 fr. (art. 65 al. 2 TFJC), seront mis à la charge de l'appelant A.E.________, qui succombe (art. 106 al. 1 CPC). d) Aucune des parties n'ayant été invitée à se déterminer sur l'appel de l’autre (cf. art. 312 al. 1 CPC), il n’y a pas lieu d’allouer de dépens de deuxième instance. Par ces motifs, le juge délégué de la Cour d’appel civile du Tribunal cantonal, statuant à huis clos, prononce : I. L'appel de S.________, est irrecevable. II. L'appel d'A.E.________ est rejeté. III. L'ordonnance est confirmée. IV. Les frais judiciaires de deuxième instance afférents à l'appel de S.________, arrêtés à 600 fr. (six cents francs), sont laissés à la charge de l'Etat. V. L'indemnité d'office de Me Jacques-Henri Bron, conseil d'office de S.________, est arrêtée à 1'252 fr. 80 (mille deux cent cinquante-deux francs et huitante centimes), TVA et débours compris. VI. La bénéficiaire de l'assistance judiciaire est, dans la mesure de l'art. 123 CPC, tenue au remboursement des frais judiciaires et de l'indemnité à son conseil d'office mis à la charge de l'Etat. VII. La requête d'assistance judiciaire de A.E.________ est rejetée. VIII. Les frais judiciaires de deuxième instance afférents à l'appel d'A.E.________, arrêtés à 600 fr. (six cents francs), sont mis à la charge de ce dernier. IX. Il n'est pas alloué de dépens de deuxième instance, X. L'arrêt motivé est exécutoire. Le juge délégué : La greffière : Du</w:t>
      </w:r>
    </w:p>
    <w:p>
      <w:r>
        <w:rPr>
          <w:b/>
        </w:rPr>
        <w:t>E. 7</w:t>
      </w:r>
    </w:p>
    <w:p>
      <w:r>
        <w:t>novembre 2012. Le dispositif de l'arrêt qui précède est communiqué par écrit aux intéressés. La greffière : Du L'arrêt qui précède, dont la rédaction a été approuvée à huis clos, est notifié en expédition complète, par l'envoi de photocopies à : ‑ Me Jacques-Henri Bron (pour S.________), ‑ Me Gilles Monnier (pour A.E.________).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