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690 vom 3. Oktober 2012</w:t>
      </w:r>
    </w:p>
    <w:p>
      <w:r>
        <w:t>VD Tribunal cantonal, 2012-10-03, FR</w:t>
      </w:r>
    </w:p>
    <w:p>
      <w:r>
        <w:rPr>
          <w:b/>
        </w:rPr>
        <w:t xml:space="preserve">Quelle: </w:t>
      </w:r>
      <w:r>
        <w:t>https://mcp.opencaselaw.ch/entscheid/vd_findinfo_HC___2012___690</w:t>
      </w:r>
    </w:p>
    <w:p>
      <w:r>
        <w:t>FR: VD_FINDINFO HC / 2012 / 690 du 3 octobre 2012</w:t>
      </w:r>
    </w:p>
    <w:p>
      <w:r>
        <w:t>IT: VD_FINDINFO HC / 2012 / 690 del 3 ottobre 2012</w:t>
      </w:r>
    </w:p>
    <w:p>
      <w:pPr>
        <w:pStyle w:val="Heading2"/>
      </w:pPr>
      <w:r>
        <w:t>Regeste</w:t>
      </w:r>
    </w:p>
    <w:p>
      <w:r>
        <w:t>CONSTATATION DES FAITS | 320 CPC (CH)</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dont la valeur litigieuse est supérieure à 10'000 fr. (art. 308 al. 2 CPC). En l’espèce, compte tenu de la valeur litigieuse de 600 fr., seule la voie du recours est ouverte (art. 319 let. a CPC). Par ailleurs, les décisions relatives aux avances de frais peuvent faire l’objet d’un recours au sens de l’art. 319 let. b ch. 1 CPC, dès lors que la loi le prévoit expressément (art. 103 CPC). Les ordonnances de mesures provisionnelles étant régies par la procédure sommaire, selon l’art. 248 let. d CPC, le délai pour l’introduction du recours est de dix jours (art. 321 al. 2 CPC). En l'occurrence, déposé en temps utile par une partie qui y a intérêt (art. 59 al. 2 let. a CPC), le présent recours est recevable. La Chambre des recours civile statue à trois juges, la règle du juge unique consacrée à l’art. 84 al. 2 LOJV (loi du 12 septembre 1979 d’organisation judiciaire; RSV 173.01) n’étant applicable que pour les appels sur mesures provisionnelles.</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(HohI, Procédure civile, tome lI,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18 c. 2.1).</w:t>
      </w:r>
    </w:p>
    <w:p>
      <w:r>
        <w:rPr>
          <w:b/>
        </w:rPr>
        <w:t>E. 3</w:t>
      </w:r>
    </w:p>
    <w:p>
      <w:r>
        <w:t>a) Le recourant invoque une violation du droit en ce sens que le premier juge n’a pas statué, sans en fournir l’explication, sur les conclusions préjudicielle (I) et subsidiaire (III) qu’il a prises dans ses déterminations du 2 juillet 2012, conclusions pourtant mentionnées dans la décision attaquée. Il relève en outre que le dispositif de la décision n'indique pas que les conclusions (I) et (III) sont rejetées. b) Il est exact que la décision litigieuse ne traite pas expressément des conclusions (I) et (III) de l'intimé du 2 juillet 2012 et que son dispositif est muet sur ce sujet, ne consacrant en particulier aucun de ses chiffres à la formulation traditionnelle « toutes autres ou plus amples conclusions sont rejetées ». Cependant, le premier juge consacre la partie « droit » de sa décision à la discussion des conclusions provisionnelles de la requérante, à savoir l'autorisation requise de procéder aux avances de frais relatives à la requête en suspension de cause du 19 mars 2012 (600 fr.) et à la requête de mesures superprovisionnelles et provisionnelles du 27 juin 2012 (950 fr.), sous la seule signature de T.________. Il explique les motifs pour lesquels il décide d’admettre les conclusions de la requérante. Les chiffres I et Il du dispositif de la décision attaquée sont la traduction de l’admission de ces conclusions. En conséquence de ce qui précède, les diverses conclusions de l'intimé du 2 juillet 2012 ont été implicitement rejetées, en particulier ses conclusions principale (Il) et subsidiaire (III). Quant à la conclusion préjudicielle en irrecevabilité (I), le recourant se réfère à ses déterminations du 2 juillet 2012, aux termes desquelles il considère que la requête de mesures provisionnelles est irrecevable au motif que la requérante ne rend pas vraisemblable que les conditions des art. 261 et 265 CPC sont réalisées. Il soutient en particulier qu’à la date du dépôt de la requête de mesures provisionnelles, soit le 27 juin 2012, aucune avance de frais n’avait été demandée à la défenderesse et requérante s’agissant de la requête en suspension de cause ou de la requête de mesures provisionnelles et superprovisionnelles du 27 juin 2012. Or, cette affirmation est contredite à double titre : d'une part parce que le chiffre I de la convention passée à l’audience de premières plaidoiries du 27 juin 2012 dispose expressément qu'un délai est imparti à la défenderesse pour le dépôt de l’avance de frais de 900 fr. relative à la requête de suspension et, d'autre part, parce que lorsqu'I.________ a refusé de donner son accord à l’avance de frais à payer pour la procédure en suspension de cause lors de l'audience du 27 juin 2012, la défenderesse a dû, séance tenante, prendre des conclusions provisionnelles à la base du présent recours pour pouvoir procéder à l'avance de frais en lien avec ces conclusions provisionnelles, sous la seule signature de T.________. On constate donc que, contrairement à ce que I.________ soutient dans ses déterminations du 2 juillet 2012, la requérante et défenderesse a rendu vraisemblable le 27 juin 2012 que les conditions des art. 261 et 265 CPC étaient réalisées. Sa requête du même jour n’était donc pas irrecevable. Le recours est mal fondé sur ce point.</w:t>
      </w:r>
    </w:p>
    <w:p>
      <w:r>
        <w:rPr>
          <w:b/>
        </w:rPr>
        <w:t>E. 4</w:t>
      </w:r>
    </w:p>
    <w:p>
      <w:r>
        <w:t>a) Le recourant se plaint par ailleurs de constatation manifestement inexacte des faits. Il soutient que la motivation de la décision attaquée est gravement lacunaire en ce sens qu’elle passe sous silence d’importants faits qui, selon lui, auraient dû amener le premier juge à rejeter la requête de mesures provisionnelles de l'intimée. En substance, le recourant soutient avoir démontré dans ses écritures de première instance que T.________ aurait détourné à son profit et à celui d’une société tierce dont il est ayant droit économique de nombreux actifs financiers appartenant à l’intimée et que celui-ci est toujours en possession de certains de ces actifs, dont il aurait déclaré qu’ils sont « à disposition » de l’intimée. Le recourant considère que la décision attaquée aurait dû mentionner ces faits et que dans la mesure où T.________ administre seul la société, c'est lui qui aurait dû être invité à prélever le montant de l'avance de frais litigieuse sur la somme d'argent appartenant à l'intimée qu'il détient dans les circonstances indiquées ci-dessus. b) Le premier juge a retenu que les prélèvements effectués par T.________ sur les comptes de la société, qui faisaient l'objet d'une enquête pénale, n'entraient pas en considération en l'état et devraient être examinés, cas échéant, sous l'angle de la responsabilité de l'administrateur. Les éléments invoqués par le recourant et dont il se plaint qu’ils manquent dans l’état de fait de la décision attaquée sont des pièces produites tant en première instance civile qu’à l’appui de la plainte pénale déposée. Ces pièces représentent certes le fondement des accusations portées par I.________ contre T.________, mais ne constituent pas encore des preuves des malversations dont celui-là accuse celui-ci. Les déclarations faites par T.________ lors d’une audition par les enquêteurs pénaux (cf. page 6 de la pièce 12 du bordereau du 29 mai 2012 du recourant) au sujet du solde d’un prêt consenti par l’intimée à une société qu’il administre ne sont notamment pas de nature à fonder l’argumentation développée par le recourant dans le cadre du présent recours. C’est dès lors à raison que le premier juge a considéré que la société requérante avait la personnalité juridique, qu'elle devait pouvoir exercer ses droits civils et qu'elle devait être en mesure de procéder à l’avance des frais judiciaires requise pour le dépôt de ses écritures. L’existence du solde du prêt susmentionné faisant partie d’un litige pendant et en cours d’instruction, la question de sa propriété reste en l’état ouverte, en dépit des déclarations de T.________. Les éventuelles conséquences de la procédure pénale sont donc sans effet sur la présente cause et il n’appartient pas à T.________ d’assumer dite avance à titre personnel. La décision attaquée peut donc être confirmée par adoption de motifs.</w:t>
      </w:r>
    </w:p>
    <w:p>
      <w:r>
        <w:rPr>
          <w:b/>
        </w:rPr>
        <w:t>E. 5</w:t>
      </w:r>
    </w:p>
    <w:p>
      <w:r>
        <w:t>En définitive, le recours, manifestement infondé, doit être rejeté dans la procédure de l’art. 322 al. 1 CPC. Les frais judiciaires de deuxième instance sont arrêtés à 400 fr. (art. 69 al. 1 TFJC [tarif des frais judiciaires civils du 28 septembre 2010; RSV 270.11.5]) et mis à la charge du recourant, qui succombe (art. 106 al. 1 CPC). N'ayant pas été invitée à se déterminer, l'intimée n’a pas droit à des dépens. Par ces motifs, la Chambre des recours civile du Tribunal cantonal, statuant à huis clos, en application de l'art. 322 al. 1 CPC, prononce : I. Le recours est rejeté. II. L'ordonnance attaquée est confirmée. III. Les frais judiciaires de deuxième instance, arrêtés à 400 fr. (quatre cents francs), sont mis à la charge du recourant I.________. IV. L'arrêt motivé est exécutoire. Le président :               La greffière : Du 4 octobre 2012 Le dispositif de l'arrêt qui précède est communiqué par écrit aux intéressés. La greffière : Du L'arrêt qui précède, dont la rédaction a été approuvée à huis clos, est notifié en expédition complète, par l'envoi de photocopies, à : ‑ Me Bernard Katz (pour I.________) ‑ V.________SA La Chambre des recours civile considère que la valeur litigieuse est de 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