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689 vom 3. Oktober 2012</w:t>
      </w:r>
    </w:p>
    <w:p>
      <w:r>
        <w:t>VD Tribunal cantonal, 2012-10-03, FR</w:t>
      </w:r>
    </w:p>
    <w:p>
      <w:r>
        <w:rPr>
          <w:b/>
        </w:rPr>
        <w:t xml:space="preserve">Quelle: </w:t>
      </w:r>
      <w:r>
        <w:t>https://mcp.opencaselaw.ch/entscheid/vd_findinfo_HC___2012___689</w:t>
      </w:r>
    </w:p>
    <w:p>
      <w:r>
        <w:t>FR: VD_FINDINFO HC / 2012 / 689 du 3 octobre 2012</w:t>
      </w:r>
    </w:p>
    <w:p>
      <w:r>
        <w:t>IT: VD_FINDINFO HC / 2012 / 689 del 3 ottobre 2012</w:t>
      </w:r>
    </w:p>
    <w:p>
      <w:pPr>
        <w:pStyle w:val="Heading2"/>
      </w:pPr>
      <w:r>
        <w:t>Regeste</w:t>
      </w:r>
    </w:p>
    <w:p>
      <w:r>
        <w:t>CONSTATATION DES FAITS | 320 CPC (CH)</w:t>
      </w:r>
    </w:p>
    <w:p>
      <w:pPr>
        <w:pStyle w:val="Heading2"/>
      </w:pPr>
      <w:r>
        <w:t>Erwägungen</w:t>
      </w:r>
    </w:p>
    <w:p>
      <w:r>
        <w:rPr>
          <w:b/>
        </w:rPr>
        <w:t>E. 1</w:t>
      </w:r>
    </w:p>
    <w:p>
      <w:r>
        <w:t>L’appel est recevable contre les ordonnances de mesures provisionnelles (art. 308 al. 1 let. b CPC [Code de procédure civile du 19 décembre 2010; RS 272]), dans les causes non patrimoniales ou dont la valeur litigieuse est supérieure à 10'000 fr. (art. 308 al. 2 CPC). En l’espèce, compte tenu de la valeur litigieuse de 7'000 fr., seule la voie du recours est ouverte (art. 319 let. a CPC). Par ailleurs, les décisions relatives aux avances de frais peuvent faire l’objet d’un recours au sens de l’art. 319 let. b ch. 1 CPC, dès lors que la loi le prévoit expressément (art. 103 CPC). Les ordonnances de mesures provisionnelles étant régies par la procédure sommaire, selon l’art. 248 let. d CPC, le délai pour l’introduction du recours est de dix jours (art. 321 al. 2 CPC). En l'occurrence, déposé en temps utile par une partie qui y a intérêt (art. 59 al. 2 let. a CPC), le présent recours est recevable. La Chambre des recours civile statue à trois juges, la règle du juge unique consacrée à l’art. 84 al. 2 LOJV (loi du 12 septembre 1979 d’organisation judiciaire; RSV 173.01) n’étant applicable que pour les appels sur mesures provisionnelles.</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 ordnung, 2010, n. 12 ad art. 319 CPC, p. 1504). Elle revoit librement les questions de droit soulevées par le recourant et peut substituer ses propres motifs à ceux de l’autorité précédente ou du recourant (HohI, Procédure civile, tome lI,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18 c. 2.1).</w:t>
      </w:r>
    </w:p>
    <w:p>
      <w:r>
        <w:rPr>
          <w:b/>
        </w:rPr>
        <w:t>E. 3</w:t>
      </w:r>
    </w:p>
    <w:p>
      <w:r>
        <w:t>a) Le recourant se plaint de constatation manifestement inexacte des faits. Il soutient que la motivation de la décision attaquée est gravement lacunaire en ce sens qu’elle passe sous silence d’importants faits qui, selon lui, auraient dû amener le premier juge à rejeter la requête de mesures provisionnelles de l’intimée. En substance, le recourant soutient avoir démontré dans ses écritures de première instance que R.________ aurait détourné à son profit et à celui d’une société tierce dont il est ayant droit économique de nombreux actifs financiers appartenant à l’intimée et que celui-ci est toujours en possession de certains de ces actifs, dont il aurait déclaré qu’ils sont « à disposition » de l’intimée. Le recourant considère que la décision attaquée aurait dû mentionner ces faits et que dans la mesure où R.________ administre seul la société, c'est lui qui aurait dû être invité à prélever le montant de l'avance de frais litigieuse sur la somme d'argent appartenant à l'intimée qu'il détient dans les circonstances indiquées ci-dessus. b) En l'espèce, il est exact qu'en ce qui concerne la plainte pénale déposée par U.________ contre R.________ pour gestion déloyale, le détail des faits reprochés par U.________ et les déclarations de R.________ ne sont pas mentionnés dans la décision attaquée et que le premier juge n'y a pas fait allusion. Cela étant, il faut relever que les éléments invoqués par le recourant et dont il se plaint qu’ils manquent dans l’état de fait de la décision attaquée sont des pièces produites tant en première instance civile qu’à l’appui de la plainte pénale déposée. Ces pièces représentent certes le fondement des accusations portées par U.________ contre R.________, mais ne constituent pas encore des preuves des malversations dont celui-là accuse celui-ci. Les déclarations faites par R.________ lors d’une audition par les enquêteurs pénaux (cf. page 6 de la pièce 12 du bordereau du 29 mai 2012 du recourant) au sujet du solde d’un prêt consenti par l’intimée à une société qu’il administre ne sont notamment pas de nature à fonder l’argumentation développée par le recourant dans le cadre du présent recours. C’est dès lors à raison que le premier juge a considéré que la société requérante avait la personnalité juridique, qu'elle devait pouvoir exercer ses droits civils et qu'elle devait être en mesure de procéder à l’avance des frais judiciaires requise pour le dépôt de ses écritures. L’existence du solde d'un prêt susmentionné faisant partie d’un litige pendant et en cours d’instruction, la question de sa propriété reste en l’état ouverte, en dépit des déclarations de R.________. Les éventuelles conséquences de la procédure pénale sont donc sans effet sur la présente cause et il n’appartient pas à R.________ d’assumer dite avance de frais à titre personnel. La décision attaquée peut par conséquent être confirmée par adoption de motifs.</w:t>
      </w:r>
    </w:p>
    <w:p>
      <w:r>
        <w:rPr>
          <w:b/>
        </w:rPr>
        <w:t>E. 4</w:t>
      </w:r>
    </w:p>
    <w:p>
      <w:r>
        <w:t>octobre 2012 Le dispositif de l'arrêt qui précède est communiqué par écrit aux intéressés. La greffière : Du L'arrêt qui précède, dont la rédaction a été approuvée à huis clos, est notifié en expédition complète, par l'envoi de photocopies, à : ‑ Me Bernard Katz (pour U.________) ‑ M.________SA La Chambre des recours civile considère que la valeur litigieuse est de 7'000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