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681 vom 25. Oktober 2012</w:t>
      </w:r>
    </w:p>
    <w:p>
      <w:r>
        <w:t>VD Tribunal cantonal, 2012-10-25, FR</w:t>
      </w:r>
    </w:p>
    <w:p>
      <w:r>
        <w:rPr>
          <w:b/>
        </w:rPr>
        <w:t xml:space="preserve">Quelle: </w:t>
      </w:r>
      <w:r>
        <w:t>https://mcp.opencaselaw.ch/entscheid/vd_findinfo_HC___2012___681</w:t>
      </w:r>
    </w:p>
    <w:p>
      <w:r>
        <w:t>FR: VD_FINDINFO HC / 2012 / 681 du 25 octobre 2012</w:t>
      </w:r>
    </w:p>
    <w:p>
      <w:r>
        <w:t>IT: VD_FINDINFO HC / 2012 / 681 del 25 ottobre 2012</w:t>
      </w:r>
    </w:p>
    <w:p>
      <w:pPr>
        <w:pStyle w:val="Heading2"/>
      </w:pPr>
      <w:r>
        <w:t>Regeste</w:t>
      </w:r>
    </w:p>
    <w:p>
      <w:r>
        <w:t>ASSISTANCE JUDICIAIRE, FORTUNE, DÉNUEMENT | 117 CPC (CH)</w:t>
      </w:r>
    </w:p>
    <w:p>
      <w:pPr>
        <w:pStyle w:val="Heading2"/>
      </w:pPr>
      <w:r>
        <w:t>Erwägungen</w:t>
      </w:r>
    </w:p>
    <w:p>
      <w:r>
        <w:rPr>
          <w:b/>
        </w:rPr>
        <w:t>E. 1</w:t>
      </w:r>
    </w:p>
    <w:p>
      <w:r>
        <w:t>La décision dont est recours a été rendue par un président de tribunal d'arrondissement ayant statué sur une requête d'assistance judiciaire en application de l'art. 39 al. 2 CDPJ (Code de droit privé judiciaire vaudois du 12 janvier 2010; RSV 211.02),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par une personne qui y a un intérêt, le recours est ainsi recevable.</w:t>
      </w:r>
    </w:p>
    <w:p>
      <w:r>
        <w:rPr>
          <w:b/>
        </w:rPr>
        <w:t>E. 2</w:t>
      </w:r>
    </w:p>
    <w:p>
      <w:r>
        <w:t>Le recours peut être formé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reproche au premier juge d'avoir retenu à tort qu'elle disposait des ressources financières suffisantes pour assumer la défense de ses intérêts. Elle relève qu'elle a été mise au bénéfice de l'assistance judiciaire dans le cadre d'une autre procédure civile et que sa situation financière n'a pas évolué. La recourante estime en outre que la cause nécessite l'intervention d'un avocat, l'Office du tuteur général, en raison de sa surcharge de travail, se trouvant dans l'incapacité de l'assister. b/aa) Afin d’apprécier si l’assistance judiciaire peut être accordée au regard de l’art. 117 CPC, il faut déterminer si le requérant ne dispose pas des ressources suffisantes (let. a) et si sa cause ne paraît pas dépourvue de toute chance de succès (let. b). Une partie ne dispose pas de ressources suffisantes lorsqu'elle n'est pas en mesure d'assumer les frais de la procédure sans devoir entamer les moyens qui lui sont nécessaires pour couvrir ses besoins personnels et ceux de sa famille (ATF 135 I 221; ATF 128 I 225, JT 1996 IV 47; ATF 127 I 202; Corboz, Commentaire de la LTF, Berne 2009, n. 17 ss ad art. 64 LTF). Savoir quels sont les critères qu'il faut prendre en considération pour admettre l'indigence relève du droit; la détermination des actifs et passifs relève en revanche du fait (ATF 135 I 221, ATF 120 Ia 179). Il incombe donc au requérant de prouver les faits qui permettent de constater son indigence (Corboz, op. cit. n. 20 ad art. 64 LTF). L’autorité compétente doit prendre en considération toutes les circonstances et apprécier la situation économique du requérant dans son ensemble, appréciation qui doit se faire selon la situation à la date de la requête (Tappy, CPC Commenté, Bâle 2011, n. 21 ad art. 117 CPC et réf. citées). Seule compte la situation effective, indépendamment du fait que d’éventuelles difficultés financières soient ou non dues à la faute de l’intéressé (ATF 104 Ia 31 c. 4). Pratiquement, il faut tenir compte des gains et de la fortune de l’intéressé. La fortune à prendre en considération ne saurait être hypothétique et comprend par ailleurs, s’agissant de la fortune mobilière, les capitaux, titres, objets aisément réalisables,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S'agissant de la fortune immobilière, il est admissible de tenir compte de l'existence d'un bien-fonds qui pourrait être engagé et procurer à l'intéressé un crédit lui permettant de faire face à ces derniers (ATF 118 Ia 369, JT 1995 I 541), mais non d'un bien en nue-propriété qui ne peut en pratique être hypothéqué (RSPC 2010 155; Tappy, op. cit., n. 24 ad art. 117 CPC). Le Tribunal fédéral admet qu’un certain montant d’économies ou de fortune nette, variant selon les cas de 10'000 fr. à 20'000 fr., voire 25'000 fr. au maximum, puisse être mis de côté en cas d’insuffisance des revenus sans devoir être considéré comme une ressource à prendre en considération (Tappy, op. cit. n. 25 ad art. 117 CPC, se référant aux arrêts : TF 9C_874/2008 du 11 février 2009 ; TF 5P.375/2006 du 18 décembre 2006 ; TF 1P.450/2004 du 28 septembre 2004). En effet, l’Etat ne peut exiger que le requérant utilise ses économies, si elles constituent sa « réserve de secours », laquelle s’apprécie en fonction des besoins futurs de l’indigent selon les circonstances concrètes de l’espèce, tels l’état de santé et l’âge du requérant ; par exemple, ce n’est que s’il est âgé ou malade que le requérant peut prétendre à une « réserve de secours » évaluée entre 20'000 fr. et 40'000 fr. (TF 5P.375/2006 du 18 décembre 2006 c. 3.1 et jurisprudence citée). bb) Aux termes de l'art. 5 al. 3 Cst., les organes de l'Etat et les particuliers doivent agir conformément aux règles de la bonne foi. Cela implique notamment qu'ils s'abstiennent d'adopter un comportement contradictoire ou abusif (ATF 134 V 306 c. 4.2). De ce principe découle notamment le droit de toute personne à la protection de sa bonne foi dans ses relations avec l'Etat (ATF 136 I 254). c) En l'espèce la recourante annonce elle-même, dans sa demande d'assistance judiciaire du 5 septembre 2012, qu'elle dispose d'une fortune immobilière de 86'900 fr. et d'économies s'élevant à environ 25'000 francs. Sur ce dernier point, il ressort du grand livre de l'Office du tuteur général, produit à l'appui de la demande, que la recourante dispose d'un compte épargne présentant un solde de 20'009 fr. 15, ainsi que d'un "placement épargne" de 6'000 fr., représentant au total des économies à hauteur de 26'009 fr. 15. Au vu de la jurisprudence précitée, cette réserve se situe à limite supérieure de ce qui peut être admis. La situation de la recourante doit être appréciée en tenant compte de l'ensemble de ses biens, dont fait partie la fortune immobilière alléguée dans sa demande d'assistance judiciaire. A cet égard, même s'il est vraisemblable que cette fortune corresponde à l'immeuble de l'hoirie et que la recourante ne puisse en disposer librement, elle relativise la nécessité de conserver les économies à titre de réserve de secours. En outre, le budget mensuel de la recourante est équilibré, si bien qu'elle n'est pas contrainte d'entamer son épargne afin de couvrir ses besoins. Celle-ci dispose d'une fortune totale de 122'909 fr. 15, dont un montant de 26'009 fr. 15 en espèces, qui lui permet d'assumer les frais de la procédure. Il est vrai que la recourante a été considérée comme indigente et mise au bénéfice de l'assistance dans le cadre d'une autre procédure civile. Toutefois, il ressort de la demande formée à l'époque qu'aucune fortune n'avait été alléguée. Dès lors, elle ne saurait se prévaloir de cette décision qui porte sur un état de fait ne correspondant pas à la réalité. La recourante n'étant pas indigente, c'est à juste titre que le bénéfice de l'assistance judiciaire lui a été refusé. Au demeurant, il sied de relever, à l'instar du premier juge, que la cause ne présente pas de difficultés particulières. En effet, la procédure en désignation d'un représentant de la communauté héréditaire est des plus simples.</w:t>
      </w:r>
    </w:p>
    <w:p>
      <w:r>
        <w:rPr>
          <w:b/>
        </w:rPr>
        <w:t>E. 4</w:t>
      </w:r>
    </w:p>
    <w:p>
      <w:r>
        <w:t>En conclusion, le recours doit être rejeté, en application de l’art. 322 al. 1 CPC, et la décision confirmée. Les frais de deuxième instance, arrêtés à 100 fr. (art. 69 al. 1 TFJC [tarif des frais judiciaires civils du 28 septembre 2010; RSV 270.11.5]), sont mis à la charge de la recourante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J.________. IV. L'arrêt motivé est exécutoire. Le président :               Le greffier : Du 26 octobre 2012 Le dispositif de l'arrêt qui précède est communiqué par écrit aux intéressés. Le greffier : Du L'arrêt qui précède, dont la rédaction a été approuvée à huis clos, est notifié en expédition complète, par l'envoi de photocopies, à : ‑ Me Christian Bettex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