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 vom 12. Januar 2012</w:t>
      </w:r>
    </w:p>
    <w:p>
      <w:r>
        <w:t>VD Tribunal cantonal, 2012-01-12, FR</w:t>
      </w:r>
    </w:p>
    <w:p>
      <w:r>
        <w:rPr>
          <w:b/>
        </w:rPr>
        <w:t xml:space="preserve">Quelle: </w:t>
      </w:r>
      <w:r>
        <w:t>https://mcp.opencaselaw.ch/entscheid/vd_findinfo_HC___2012___68</w:t>
      </w:r>
    </w:p>
    <w:p>
      <w:r>
        <w:t>FR: VD_FINDINFO HC / 2012 / 68 du 12 janvier 2012</w:t>
      </w:r>
    </w:p>
    <w:p>
      <w:r>
        <w:t>IT: VD_FINDINFO HC / 2012 / 68 del 12 gennaio 2012</w:t>
      </w:r>
    </w:p>
    <w:p>
      <w:pPr>
        <w:pStyle w:val="Heading2"/>
      </w:pPr>
      <w:r>
        <w:t>Regeste</w:t>
      </w:r>
    </w:p>
    <w:p>
      <w:r>
        <w:t>RELATIONS PERSONNELLES, PSYCHOLOGUE | 307 CC, 276 al. 1 CPC (CH), 308 al. 1 let. b CPC (CH), 312 al. 1 CPC (CH)</w:t>
      </w:r>
    </w:p>
    <w:p>
      <w:pPr>
        <w:pStyle w:val="Heading2"/>
      </w:pPr>
      <w:r>
        <w:t>Erwägungen</w:t>
      </w:r>
    </w:p>
    <w:p>
      <w:r>
        <w:rPr>
          <w:b/>
        </w:rPr>
        <w:t>E. 1</w:t>
      </w:r>
    </w:p>
    <w:p>
      <w:r>
        <w:t>La décision attaquée a été rendue le 27 octobre 2011, de sorte que les voies de droit sont régies par le CPC (Code de procédure civile suisse du 19 décembre 2008, RS 272), entré en vigueur le 1 er janvier 2011 (art. 405 al. 1 CPC ; TF 5A_320/2011 du 8 août 2011 c. 2.3, RSPC 2011, pp. 489 ss, note de Tappy).</w:t>
      </w:r>
    </w:p>
    <w:p>
      <w:r>
        <w:rPr>
          <w:b/>
        </w:rPr>
        <w:t>E. 2</w:t>
      </w:r>
    </w:p>
    <w:p>
      <w:r>
        <w:t>L'appel est recevable contre une ordonnance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Formé en temps utile par une partie qui y a intérêt et portant sur des conclusions non patrimoniales, le présent appel est recevable. Un membre de la Cour d’appel civile statue comme juge unique sur les appels formés contre les décisions sur mesures provisionnelles et sur mesures protectrices de l’union conjugale (art. 84 al. 2 LOJV).</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4</w:t>
      </w:r>
    </w:p>
    <w:p>
      <w:r>
        <w:t>a) L’appelante fait valoir qu’il n’y a pas lieu de modifier les mesures provisionnelles convenues entre les parties le 5 septembre 2011, ces mesures étant justifiées et les conditions de l’art. 268 al. 1 CPC n’étant ainsi pas réunies. Elle estime qu’il n’existe aucun problème de langue entre la thérapeute désignée et l’intimé et son fils ; l’affirmation de l’existence d’un tel problème repose sur un fait qui n’aurait pas été vérifié. Si une barrière linguistique devait exister, il n’est pas pour autant établi que le nouveau thérapeute désigné en la personne de Almut Schweikert aurait les qualifications professionnelles requises pour mener à bien la mission convenue entre les parties le 5 septembre 2011. b) L'exercice de l'autorité parentale, comme du droit de garde qui en est une composante, doit poursuivre en toutes circonstances le bien de l'enfant (cf. art. 301 al. 1 CC [Code civil suisse du 10 décembre 1907 , RS 210]). Si ce bien est menacé et que les parents n'y remédient pas d'eux-mêmes, ou s'ils sont hors d'état de le faire, l'autorité tutélaire – respectivement le juge chargé de régler les relations des père et mère avec l'enfant (cf. art. 315a al. 1 CC) – prend les dispositions adéquates pour la protection de l'enfant. Font partie de ces mesures, à l'échelon inférieur de la gradation en gravité, la mesure la plus faible, à savoir les indications ou instructions prévues par l'art. 307 al. 3 CC qui peuvent concerner tous les domaines de l'activité parentale tout en respectant les maximes de la subsidiarité, de la complémentarité et de la proportionnalité. Les intérêts de l'enfant étant soumis à la maxime officielle, l'autorité de tutelle ou le juge saisi peut prendre d'office des mesures au sens des art. 307ss CC, mais cela se fait généralement sur requête de l'un des parents (ATF 136 III 353 c. 3). Selon l’art. 276 al. 1 CPC, le tribunal saisi d’une action en divorce ordonne les mesures provisionnelles nécessaires pendant la durée du procès en divorce (cf. art. 137 al. 1 aCC). Bien que le CPC n’en fasse nulle part état, des conventions entre les parties aménageant leurs relations pendant la durée du procès en divorce sont en pratique courantes et demeurent possibles; elles sont en général ratifiées par le juge pour valoir ordonnance de mesures provisionnelles (Tappy, CPC commenté, n. 18 ad art. 276 CPC). Selon la jurisprudence, une modification des mesures provisionnelles ordonnées pendant la procédure de divorce sur la base de l'art. 276 al. 1 CPC (cf. art. 137 al. 2 aCC)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(ATF 129 III 60 c. 2; TF 5A_894/2010 du 15 avril 2011, c. 3.1; 5A_27/2009 du 2 octobre 2009, c. 4.1; Bohnet, CPC commenté, 2011, n. 5 et 6 ad art. 268 CPC). c) En l’espèce, il est apparu postérieurement au prononcé du 5 septembre 2011 que, lors de la conclusion et de la ratification de la convention du 5 septembre 2011 par le premier juge, tant les parties que ce dernier avaient ignoré des éléments essentiels, tel le fait que la psychologue Regula Maag ne maîtrisait pas suffisamment bien le français ni l’anglais pour remplir la mission qui lui avait été confiée. Sur la base de ces nouveaux éléments, il se justifiait de nommer un autre psychologue, possédant les connaissances linguistiques nécessaires, afin de permettre, dans l’intérêt supérieur de l’enfant, une reprise rapide de ses relations avec son père, selon les modalités prévues. La question n’est pas de savoir si Regula Maag était plus qualifiée au regard de sa spécialisation que Almut Schweikert pour une telle mission, dès lors qu’il est constant que la première n’était pas à même de remplir cette mission pour des raisons linguistiques. De même, l’argumentation de l’appelante, selon laquelle «si vraiment il faut trouver une autre thérapeute que Mme Maag, des personnes plus adaptées que Mme Schweikert existent à coup sûr», tombe à faux. Dès lors que l’experte Nicole Eugster a elle-même proposé la désignation de Almut Schweikert, psychologue spécialiste en psychologie clinique FSP et psychologue spécialiste en psychologie légale FSP, en précisant que celle-ci parlait très bien le français et maîtrisait aussi très bien l’anglais, il y a lieu de retenir qu’Almut Schweikert possède toutes les qualifications nécessaires. Le premier juge a ainsi agi dans l’intérêt de l’enfant C.A.________, autant que dans celui des parties, en la désignant rapidement pour permettre sans plus attendre la nécessaire reprise des relations entre père et fils.</w:t>
      </w:r>
    </w:p>
    <w:p>
      <w:r>
        <w:rPr>
          <w:b/>
        </w:rPr>
        <w:t>E. 5</w:t>
      </w:r>
    </w:p>
    <w:p>
      <w:r>
        <w:t>Au vu de ce qui précède, l’appel doit être rejeté en vertu de l’art. 312 al. 1 CPC et l’ordonnance attaquée confirmée.</w:t>
      </w:r>
    </w:p>
    <w:p>
      <w:r>
        <w:rPr>
          <w:b/>
        </w:rPr>
        <w:t>E. 6</w:t>
      </w:r>
    </w:p>
    <w:p>
      <w:r>
        <w:t>a) Dès lors que l’appelante succombe, son conseil d’office sera rémunéré équitablement par l’Etat (art. 122 al. 1 let. a CPC) et les frais judiciaires de deuxième instance, qui doivent être arrêtés à 600 fr. (art. 65 al. 2 TFJC [tarif des frais judiciaires civils du 28 septembre 2010, RSV 270.11.5]), seront laissés à la charge de l’Etat (art. 122 al. 1 let. b CPC). L’appelante versera à l’intimé des dépens à hauteur de 700 fr. pour les déterminations que celui-ci a été amené à déposer dans le cadre de la procédure d’appel (art. 122 al. 1 let. d CPC). b) Sur la base d’une estimation des opérations nécessaires à la conduite de la procédure d’appel (art. 3 al. 2 RAJ [règlement sur l'assistance judiciaire en matière civile, RSV 211.02.3]), l’indemnité d’office de Me Seeger Tappy sera arrêtée à 1'000 fr., TVA et débours compris. La bénéficiaire de l’assistance judiciaire est, dans la mesure de l’art. 123 CPC, tenue au remboursement des frais judiciaires et de l’indemnité à son conseil d’office mis à la charge de l’Etat. Par ces motifs, le juge délégué de la Cour d’appel civile du Tribunal cantonal, statuant à huis clos, en application de l'art. 312 al. 1 CPC, prononce : I. L’appel est rejeté. II. L’ordonnance est confirmée. III. Les frais judiciaires de deuxième instance, par 600 fr. (six cents francs) sont laissés à la charge de l’Etat. IV. L’indemnité d’office de Me Cornelia Seeger Tappy, conseil de l’appelante A.A.________, est arrêtée à 1'000 fr. (mille francs), TVA et débours compris. V. La bénéficiaire de l’assistance judiciaire est, dans la mesure de l’art. 123 CPC, tenue au remboursement des frais judicaires et de l’indemnité à son conseil d’office mis à la charge de l’Etat. VI. L’appelante A.A.________ versera à l’intimé B.A.________ la somme de 700 fr. (sept cents francs) à titre de dépens de deuxième instance. VII. L’arrêt motivé est exécutoire. Le juge délégué : La greffière : Du 16 janvier 2012 Le dispositif de l'arrêt qui précède est communiqué par écrit aux intéressés. La greffière : Du L'arrêt qui précède, dont la rédaction a été approuvée à huis clos, est notifié en expédition complète, par l'envoi de photocopies, à : ‑ Me Cornelia Seeger Tappy (pour A.A.________), ‑ Me Alain Dubuis (pour B.A.________).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