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673 vom 26. Oktober 2012</w:t>
      </w:r>
    </w:p>
    <w:p>
      <w:r>
        <w:t>VD Tribunal cantonal, 2012-10-26, FR</w:t>
      </w:r>
    </w:p>
    <w:p>
      <w:r>
        <w:rPr>
          <w:b/>
        </w:rPr>
        <w:t xml:space="preserve">Quelle: </w:t>
      </w:r>
      <w:r>
        <w:t>https://mcp.opencaselaw.ch/entscheid/vd_findinfo_HC___2012___673</w:t>
      </w:r>
    </w:p>
    <w:p>
      <w:r>
        <w:t>FR: VD_FINDINFO HC / 2012 / 673 du 26 octobre 2012</w:t>
      </w:r>
    </w:p>
    <w:p>
      <w:r>
        <w:t>IT: VD_FINDINFO HC / 2012 / 673 del 26 ottobre 2012</w:t>
      </w:r>
    </w:p>
    <w:p>
      <w:pPr>
        <w:pStyle w:val="Heading2"/>
      </w:pPr>
      <w:r>
        <w:t>Regeste</w:t>
      </w:r>
    </w:p>
    <w:p>
      <w:r>
        <w:t>EXPULSION DE LOCATAIRE, DÉCISION D'IRRECEVABILITÉ | 257 al. 1 let. a CPC (CH)</w:t>
      </w:r>
    </w:p>
    <w:p>
      <w:pPr>
        <w:pStyle w:val="Heading2"/>
      </w:pPr>
      <w:r>
        <w:t>Erwägungen</w:t>
      </w:r>
    </w:p>
    <w:p>
      <w:r>
        <w:rPr>
          <w:b/>
        </w:rPr>
        <w:t>E. 1</w:t>
      </w:r>
    </w:p>
    <w:p>
      <w:r>
        <w:t>a) Pour déterminer quelle voie de droit, de l’appel ou du recours, est ouverte, il faut se fonder sur la valeur litigieuse, calculée selon le droit fédéral. Concernant un litige portant sur la validité d'une résiliation de bail à loyer notifiée sur la base de l'art. 257d CO, la valeur litigieuse est égale au loyer dû pour la période durant laquelle le contrat subsiste nécessairement, en supposant que l'on admette la contestation, et qui s'étend jusqu'au moment pour lequel un nouveau congé aurait pu être donné. En principe, la durée déterminante pour le calcul de la valeur litigieuse ne saurait être inférieure à la période de trois ans pendant laquelle l’art. 271a al. 1 let. e CO consacre I’annulabilité d’une résiliation (JT 2011 III 83 et les réf. citées). En l'occurrence, calculée conformément à l'art. 92 al. 1 CPC, la valeur litigieuse excède 10'000 fr., de sorte que, s'agissant d'une décision finale au sens de l'art. 308 al. 1 let. a CPC, c'est la voie de l'appel qui est ouverte (art. 308 al. 2 CPC). b) Le Juge de paix ayant statué en procédure sommaire au regard de l'art. 257 CPC, le délai d’appel est de dix jours (314 al. 1 CPC). Déposé le 12 septembre 2012, soit en temps utile, signé et dûment motivé par une partie qui y a intérêt (art. 59 al. 2 let. a CPC), l’appel est formellement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JT 2011 III 43 et les réf. citées).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l’appelant de démontrer que ces conditions sont réalisées, de sorte que l’appel doit indiquer spécialement les faits et preuves nouveaux et motiver spécialement les raisons qui les rendent admissibles selon lui (art. 317 al. 1 CPC; Tappy, op. cit., JT 2010 III 136-137; JT 2011 III 43). En l'espèce, les deux nouvelles pièces produites par l'intimé (cf. supra, let. B) doivent être écartées, dès lors qu'elles auraient pu être invoquées en première instance, si tant est par ailleurs que la copie de l'avis de prochaine clôture du 13 avril 2012 du Ministère public ait une quelconque pertinence dans le cadre du présent appel. Les explications de l'intimé selon lesquelles il n'aurait pas pu produire le bail manuscrit devant le premier juge en raison d'une atteinte à sa santé ne sont manifestement pas relevantes.</w:t>
      </w:r>
    </w:p>
    <w:p>
      <w:r>
        <w:rPr>
          <w:b/>
        </w:rPr>
        <w:t>E. 3</w:t>
      </w:r>
    </w:p>
    <w:p>
      <w:r>
        <w:t>a) Aux termes de l'art. 257 CPC, le tribunal admet l'application de la procédure sommaire lorsque l'état de fait n'est pas litigieux ou est susceptible d'être immédiatement prouvé (al. 1 let. a) et que la situation juridique est claire (al. 1 let. b). Le tribunal n'entre pas en matière lorsque cette procédure ne peut pas être appliquée (al. 3). De manière générale, l’art. 257 CPC n’est pas seulement applicable lorsque l’état de fait est incontesté, mais également lorsque, s’il l’est, il est susceptible d’être immédiatement prouvé (Message du Conseil fédéral du 28 juin 2006, in FF 2006 p. 6959; Bohnet, Le droit du bail en procédure civile suisse, in 16 e Séminaire de droit du bail, n. 42, p. 15; Meier, Schweizerisches Zivilprozessrecht, Zurich 2010, pp. 374-375), notamment sur la base de moyens de preuve immédiatement disponibles, en particulier des pièces (Sutter-Somm/Lötscher, Kommentar zur Schweizerischen Zivilprozessordnung, 2010, n. 5 ad art. 257 CPC; Gösku, Schweizerischen Zivilprozessordnung, Kommentar, Brunner/Gasser/ Schwander Hrsg, 2011, n. 8 ad art. 257 CPC), d’autres moyens de preuve (audition de témoins amenés directement par les parties ou brève vision locale) n’étant cependant pas exclus (Bohnet, CPC commenté, Bâle 2011, n. 11 ad art. 257 CPC; Grolimund/Staehelin/Staehelin, Zivilprozessrecht, Zurich 2008, n. 54, p. 357). Pour le défendeur, il suffit de démontrer la vraisemblance de ses objections; des allégations dénuées de fondement ne sauraient toutefois faire obstacle à un procès rapide. Le demandeur peut réfuter les objections qui lui sont opposées en démontrant qu’elles ne sont pas pertinentes ou qu’elles sont inexactes (Sutter-Somm/Lötscher, op. cit., n. 7 ad art. 257 CPC). Le juge doit être convaincu que l'état de fait est suffisamment établi avec les moyens de preuve à disposition et que d'autres moyens de preuve ne changeraient rien au résultat. En cas de doute, l'art. 257 CPC ne saurait s'appliquer (Lachat, Procédure civile en matière de baux et loyers, Lausanne 2011, p.168). On considère par ailleurs que la situation juridique est claire lorsque, sur la base d'une doctrine ou d'une jurisprudence éprouvée, la norme s'applique au cas concret et y déploie ses effets de manière évidente (ATF 118 II 302 c. 3; JT 2011 III 146). Cela n'est pas le cas si la résiliation du bail est intervenue pour justes motifs et que les motifs invoqués peuvent donner lieu à discussion (Bohnet, op. cit., n. 13 ad art. 257 CPC). b) En l'espèce, si le bail à loyer daté du 1 er octobre 2011 produit par l'intimé à l'appui de sa requête d'expulsion a été libellé au nom des deux parties, on observe toutefois qu'il n'est pas signé par le locataire, ce qui a manifestement échappé au premier juge. Cela étant, rien au dossier ne permet de retenir l'existence d'un contrat de bail tacite entre les parties. Au contraire, puisque tant la sommation que la notification de résiliation du bail sont adressées au locataire à son adresse de Clarens, ce qui accréditerait plutôt l'idée que ce dernier n'occupait pas l'appartement litigieux. Au demeurant, même si l'on prenait en considération le bail manuscrit daté du 30 septembre 2011 produit par l'intimé en annexe à sa réponse, cela ne rendrait pas pour autant la situation plus limpide, dans la mesure où l'on se trouverait en présence de deux baux à loyer conclus entre les mêmes parties qui ne concordent pas entre eux. Il s'ensuit que la condition de l'état de fait non litigieux posée par l'art. 257 al. 1 let. a CPC n'est pas réalisée en l'espèce et que le premier juge ne pouvait statuer, comme il l'a fait, en procédure de cas clair. Il devait bien plutôt déclarer la requête irrecevable, en application de l'art. 257 al. 3 CPC.</w:t>
      </w:r>
    </w:p>
    <w:p>
      <w:r>
        <w:rPr>
          <w:b/>
        </w:rPr>
        <w:t>E. 4</w:t>
      </w:r>
    </w:p>
    <w:p>
      <w:r>
        <w:t>L'appel doit par conséquent être admis et l'ordonnance attaquée réformée dans le sens qui précède. Les frais judiciaires de deuxième instance sont arrêtés à 400 fr. (art. 6 al. 3 et 62 al. 1 TFJC) et mis à la charge de l'intimé,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